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DocumentFor"/>
      <w:bookmarkEnd w:id="0"/>
      <w:bookmarkStart w:id="1" w:name="Title"/>
      <w:bookmarkEnd w:id="1"/>
      <w:r>
        <w:rPr>
          <w:rFonts w:hint="default" w:ascii="Times New Roman" w:hAnsi="Times New Roman" w:cs="Times New Roman"/>
          <w:b/>
          <w:sz w:val="24"/>
          <w:lang w:eastAsia="ja-JP"/>
        </w:rPr>
        <w:t>3GPP TSG RAN WG2#127bis</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R2-2408292</w:t>
      </w:r>
    </w:p>
    <w:p w14:paraId="49F1401E">
      <w:pPr>
        <w:pStyle w:val="54"/>
        <w:jc w:val="left"/>
        <w:rPr>
          <w:rFonts w:hint="default" w:ascii="Times New Roman" w:hAnsi="Times New Roman" w:cs="Times New Roman"/>
          <w:sz w:val="22"/>
          <w:szCs w:val="22"/>
          <w:lang w:val="en-US"/>
        </w:rPr>
      </w:pPr>
      <w:r>
        <w:rPr>
          <w:rFonts w:hint="default" w:ascii="Times New Roman" w:hAnsi="Times New Roman" w:cs="Times New Roman"/>
          <w:b/>
          <w:sz w:val="24"/>
          <w:lang w:eastAsia="ja-JP"/>
        </w:rPr>
        <w:t>Hefei, China, 14th - 18th October 2024</w:t>
      </w:r>
    </w:p>
    <w:p w14:paraId="12FA2811">
      <w:pPr>
        <w:pStyle w:val="54"/>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8.6.2</w:t>
      </w:r>
    </w:p>
    <w:p w14:paraId="777C997F">
      <w:pPr>
        <w:pStyle w:val="54"/>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4"/>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Inter CU LTM </w:t>
      </w:r>
    </w:p>
    <w:p w14:paraId="55A24722">
      <w:pPr>
        <w:pStyle w:val="54"/>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At last meeting, we discussed inter-CU LTM and made the following agreements [1]: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Agreements on inter-CU LTM</w:t>
            </w:r>
            <w:r>
              <w:rPr>
                <w:rFonts w:hint="default" w:ascii="Times New Roman" w:hAnsi="Times New Roman" w:cs="Times New Roman"/>
                <w:b/>
                <w:bCs w:val="0"/>
                <w:lang w:val="en-IN"/>
              </w:rPr>
              <w:t xml:space="preserve"> #RAN2 127:</w:t>
            </w:r>
          </w:p>
          <w:p w14:paraId="509BADFB">
            <w:pPr>
              <w:numPr>
                <w:ilvl w:val="0"/>
                <w:numId w:val="0"/>
              </w:numPr>
              <w:spacing w:after="0"/>
              <w:rPr>
                <w:rFonts w:hint="default" w:ascii="Times New Roman" w:hAnsi="Times New Roman" w:cs="Times New Roman"/>
                <w:b w:val="0"/>
                <w:bCs/>
              </w:rPr>
            </w:pPr>
          </w:p>
          <w:p w14:paraId="001EE583">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Reference configuration:</w:t>
            </w:r>
          </w:p>
          <w:p w14:paraId="54DC4C40">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 xml:space="preserve"> </w:t>
            </w:r>
          </w:p>
          <w:p w14:paraId="4C2AA207">
            <w:pPr>
              <w:numPr>
                <w:ilvl w:val="0"/>
                <w:numId w:val="15"/>
              </w:numPr>
              <w:spacing w:after="0"/>
              <w:rPr>
                <w:rFonts w:hint="default" w:ascii="Times New Roman" w:hAnsi="Times New Roman" w:cs="Times New Roman"/>
                <w:b w:val="0"/>
                <w:bCs/>
              </w:rPr>
            </w:pPr>
            <w:r>
              <w:rPr>
                <w:rFonts w:hint="default" w:ascii="Times New Roman" w:hAnsi="Times New Roman" w:cs="Times New Roman"/>
                <w:b w:val="0"/>
                <w:bCs/>
              </w:rPr>
              <w:t>Inter-CU LTM re-uses the reference configuration from Rel-18 LTM. No additional reference configurations (no multiple reference configurations) are supported.</w:t>
            </w:r>
          </w:p>
          <w:p w14:paraId="0955B5A9">
            <w:pPr>
              <w:numPr>
                <w:ilvl w:val="0"/>
                <w:numId w:val="0"/>
              </w:numPr>
              <w:spacing w:after="0"/>
              <w:rPr>
                <w:rFonts w:hint="default" w:ascii="Times New Roman" w:hAnsi="Times New Roman" w:cs="Times New Roman"/>
                <w:b w:val="0"/>
                <w:bCs/>
              </w:rPr>
            </w:pPr>
          </w:p>
          <w:p w14:paraId="2A4BABFC">
            <w:pPr>
              <w:numPr>
                <w:ilvl w:val="0"/>
                <w:numId w:val="15"/>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The Rel-18 signaling structure for LTM CSI resource and report configuration is reused for inter-CU LTM, i.e. a common CSI resource configuration and cell-specific CSI report configuration.</w:t>
            </w:r>
          </w:p>
          <w:p w14:paraId="713BCA70">
            <w:pPr>
              <w:numPr>
                <w:ilvl w:val="0"/>
                <w:numId w:val="0"/>
              </w:numPr>
              <w:spacing w:after="0"/>
              <w:ind w:leftChars="0"/>
              <w:rPr>
                <w:rFonts w:hint="default" w:ascii="Times New Roman" w:hAnsi="Times New Roman" w:cs="Times New Roman"/>
                <w:b w:val="0"/>
                <w:bCs/>
              </w:rPr>
            </w:pPr>
          </w:p>
          <w:p w14:paraId="336ED4AC">
            <w:pPr>
              <w:numPr>
                <w:ilvl w:val="0"/>
                <w:numId w:val="0"/>
              </w:numPr>
              <w:spacing w:after="0"/>
              <w:rPr>
                <w:rFonts w:hint="default" w:ascii="Times New Roman" w:hAnsi="Times New Roman" w:cs="Times New Roman"/>
                <w:b w:val="0"/>
                <w:bCs/>
              </w:rPr>
            </w:pPr>
            <w:r>
              <w:rPr>
                <w:rFonts w:hint="default" w:ascii="Times New Roman" w:hAnsi="Times New Roman" w:cs="Times New Roman"/>
                <w:b w:val="0"/>
                <w:bCs/>
              </w:rPr>
              <w:t>3.The source CU is responsible to generate the common CSI resource configuration.</w:t>
            </w:r>
          </w:p>
          <w:p w14:paraId="03737793">
            <w:pPr>
              <w:numPr>
                <w:ilvl w:val="0"/>
                <w:numId w:val="0"/>
              </w:numPr>
              <w:spacing w:after="0"/>
              <w:rPr>
                <w:rFonts w:hint="default" w:ascii="Times New Roman" w:hAnsi="Times New Roman" w:cs="Times New Roman"/>
                <w:b w:val="0"/>
                <w:bCs/>
              </w:rPr>
            </w:pPr>
          </w:p>
          <w:p w14:paraId="57A3A45B">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Early DL sync:</w:t>
            </w:r>
          </w:p>
          <w:p w14:paraId="04BB765D">
            <w:pPr>
              <w:numPr>
                <w:ilvl w:val="0"/>
                <w:numId w:val="0"/>
              </w:numPr>
              <w:spacing w:after="0"/>
              <w:rPr>
                <w:rFonts w:hint="default" w:ascii="Times New Roman" w:hAnsi="Times New Roman" w:cs="Times New Roman"/>
                <w:b w:val="0"/>
                <w:bCs/>
              </w:rPr>
            </w:pPr>
          </w:p>
          <w:p w14:paraId="76602194">
            <w:pPr>
              <w:numPr>
                <w:ilvl w:val="0"/>
                <w:numId w:val="0"/>
              </w:numPr>
              <w:spacing w:after="0"/>
              <w:ind w:leftChars="0"/>
              <w:rPr>
                <w:rFonts w:hint="default" w:ascii="Times New Roman" w:hAnsi="Times New Roman" w:cs="Times New Roman"/>
                <w:b w:val="0"/>
                <w:bCs/>
              </w:rPr>
            </w:pPr>
            <w:r>
              <w:rPr>
                <w:rFonts w:hint="default" w:ascii="Times New Roman" w:hAnsi="Times New Roman" w:cs="Times New Roman"/>
                <w:b w:val="0"/>
                <w:bCs/>
                <w:lang w:val="en-IN"/>
              </w:rPr>
              <w:t xml:space="preserve">4. </w:t>
            </w:r>
            <w:r>
              <w:rPr>
                <w:rFonts w:hint="default" w:ascii="Times New Roman" w:hAnsi="Times New Roman" w:cs="Times New Roman"/>
                <w:b w:val="0"/>
                <w:bCs/>
              </w:rPr>
              <w:t>For inter-CU LTM, the R18 candidate TCI State activation/deactivation design (including MAC CE and related UE handling) is reused.</w:t>
            </w:r>
          </w:p>
          <w:p w14:paraId="7C0102B3">
            <w:pPr>
              <w:numPr>
                <w:ilvl w:val="0"/>
                <w:numId w:val="0"/>
              </w:numPr>
              <w:spacing w:after="0"/>
              <w:rPr>
                <w:rFonts w:hint="default" w:ascii="Times New Roman" w:hAnsi="Times New Roman" w:cs="Times New Roman"/>
                <w:b w:val="0"/>
                <w:bCs/>
              </w:rPr>
            </w:pPr>
          </w:p>
          <w:p w14:paraId="22D1ACE6">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Inter-CU LTM switch:</w:t>
            </w:r>
          </w:p>
          <w:p w14:paraId="5AF50850">
            <w:pPr>
              <w:numPr>
                <w:ilvl w:val="0"/>
                <w:numId w:val="0"/>
              </w:numPr>
              <w:spacing w:after="0"/>
              <w:rPr>
                <w:rFonts w:hint="default" w:ascii="Times New Roman" w:hAnsi="Times New Roman" w:cs="Times New Roman"/>
                <w:b w:val="0"/>
                <w:bCs/>
              </w:rPr>
            </w:pPr>
          </w:p>
          <w:p w14:paraId="34549F83">
            <w:pPr>
              <w:numPr>
                <w:ilvl w:val="0"/>
                <w:numId w:val="16"/>
              </w:numPr>
              <w:spacing w:after="0"/>
              <w:rPr>
                <w:rFonts w:hint="default" w:ascii="Times New Roman" w:hAnsi="Times New Roman" w:cs="Times New Roman"/>
                <w:b w:val="0"/>
                <w:bCs/>
              </w:rPr>
            </w:pPr>
            <w:r>
              <w:rPr>
                <w:rFonts w:hint="default" w:ascii="Times New Roman" w:hAnsi="Times New Roman" w:cs="Times New Roman"/>
                <w:b w:val="0"/>
                <w:bCs/>
              </w:rPr>
              <w:t>For inter-CU LTM cell switch, it’s the source DU that triggers the MAC CE and informs the source CU about the target LTM cell.</w:t>
            </w:r>
          </w:p>
          <w:p w14:paraId="292B4C18">
            <w:pPr>
              <w:numPr>
                <w:ilvl w:val="0"/>
                <w:numId w:val="0"/>
              </w:numPr>
              <w:spacing w:after="0"/>
              <w:rPr>
                <w:rFonts w:hint="default" w:ascii="Times New Roman" w:hAnsi="Times New Roman" w:cs="Times New Roman"/>
                <w:b w:val="0"/>
                <w:bCs/>
              </w:rPr>
            </w:pPr>
          </w:p>
          <w:p w14:paraId="7C278C08">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RLC and PDCP re-establishment in inter-CU LTM:</w:t>
            </w:r>
          </w:p>
          <w:p w14:paraId="4B0F566B">
            <w:pPr>
              <w:numPr>
                <w:ilvl w:val="0"/>
                <w:numId w:val="0"/>
              </w:numPr>
              <w:spacing w:after="0"/>
              <w:rPr>
                <w:rFonts w:hint="default" w:ascii="Times New Roman" w:hAnsi="Times New Roman" w:cs="Times New Roman"/>
                <w:b w:val="0"/>
                <w:bCs/>
              </w:rPr>
            </w:pPr>
          </w:p>
          <w:p w14:paraId="67C0B1AF">
            <w:pPr>
              <w:numPr>
                <w:ilvl w:val="0"/>
                <w:numId w:val="16"/>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53538EEB">
            <w:pPr>
              <w:numPr>
                <w:ilvl w:val="0"/>
                <w:numId w:val="0"/>
              </w:numPr>
              <w:spacing w:after="0"/>
              <w:rPr>
                <w:rFonts w:hint="default" w:ascii="Times New Roman" w:hAnsi="Times New Roman" w:cs="Times New Roman"/>
                <w:b w:val="0"/>
                <w:bCs/>
              </w:rPr>
            </w:pPr>
          </w:p>
          <w:p w14:paraId="42801EBC">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Handling of candidate configuration after inter-CU LTM cell switch:</w:t>
            </w:r>
          </w:p>
          <w:p w14:paraId="3E118117">
            <w:pPr>
              <w:numPr>
                <w:ilvl w:val="0"/>
                <w:numId w:val="0"/>
              </w:numPr>
              <w:spacing w:after="0"/>
              <w:rPr>
                <w:rFonts w:hint="default" w:ascii="Times New Roman" w:hAnsi="Times New Roman" w:cs="Times New Roman"/>
                <w:b w:val="0"/>
                <w:bCs/>
              </w:rPr>
            </w:pPr>
          </w:p>
          <w:p w14:paraId="554D5C4F">
            <w:pPr>
              <w:numPr>
                <w:ilvl w:val="0"/>
                <w:numId w:val="16"/>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As in Rel-18 LTM, the UE keeps its LTM candidate cell configurations after at least a inter-CU LTM cell switch procedure where the UE is not configured with DC, unless these are explicitly released by the network.</w:t>
            </w:r>
          </w:p>
          <w:p w14:paraId="2355B54A">
            <w:pPr>
              <w:numPr>
                <w:ilvl w:val="0"/>
                <w:numId w:val="0"/>
              </w:numPr>
              <w:spacing w:after="0"/>
              <w:rPr>
                <w:rFonts w:hint="default" w:ascii="Times New Roman" w:hAnsi="Times New Roman" w:cs="Times New Roman"/>
                <w:b w:val="0"/>
                <w:bCs/>
              </w:rPr>
            </w:pPr>
          </w:p>
          <w:p w14:paraId="79B90733">
            <w:pPr>
              <w:numPr>
                <w:ilvl w:val="0"/>
                <w:numId w:val="0"/>
              </w:numPr>
              <w:spacing w:after="0"/>
              <w:rPr>
                <w:rFonts w:hint="default" w:ascii="Times New Roman" w:hAnsi="Times New Roman" w:cs="Times New Roman"/>
                <w:b w:val="0"/>
                <w:bCs/>
              </w:rPr>
            </w:pPr>
            <w:r>
              <w:rPr>
                <w:rFonts w:hint="default" w:ascii="Times New Roman" w:hAnsi="Times New Roman" w:cs="Times New Roman"/>
                <w:b/>
                <w:bCs w:val="0"/>
              </w:rPr>
              <w:t>DRB/PDU session mismatch in subsequent inter-CU LTM:</w:t>
            </w:r>
            <w:r>
              <w:rPr>
                <w:rFonts w:hint="default" w:ascii="Times New Roman" w:hAnsi="Times New Roman" w:cs="Times New Roman"/>
                <w:b w:val="0"/>
                <w:bCs/>
              </w:rPr>
              <w:t xml:space="preserve"> </w:t>
            </w:r>
          </w:p>
          <w:p w14:paraId="15058F07">
            <w:pPr>
              <w:numPr>
                <w:ilvl w:val="0"/>
                <w:numId w:val="0"/>
              </w:numPr>
              <w:spacing w:after="0"/>
              <w:rPr>
                <w:rFonts w:hint="default" w:ascii="Times New Roman" w:hAnsi="Times New Roman" w:cs="Times New Roman"/>
                <w:b w:val="0"/>
                <w:bCs/>
              </w:rPr>
            </w:pPr>
          </w:p>
          <w:p w14:paraId="69D6DF06">
            <w:pPr>
              <w:numPr>
                <w:ilvl w:val="0"/>
                <w:numId w:val="16"/>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 xml:space="preserve">RAN2 understand NW implementation can handle the concern raised in P6, R2-2407421. </w:t>
            </w:r>
          </w:p>
          <w:p w14:paraId="5856B2D5">
            <w:pPr>
              <w:numPr>
                <w:ilvl w:val="0"/>
                <w:numId w:val="0"/>
              </w:numPr>
              <w:spacing w:after="0"/>
              <w:rPr>
                <w:rFonts w:hint="default" w:ascii="Times New Roman" w:hAnsi="Times New Roman" w:cs="Times New Roman"/>
                <w:b/>
                <w:bCs w:val="0"/>
              </w:rPr>
            </w:pPr>
          </w:p>
          <w:p w14:paraId="56336AC0">
            <w:pPr>
              <w:numPr>
                <w:ilvl w:val="0"/>
                <w:numId w:val="0"/>
              </w:numPr>
              <w:spacing w:after="0"/>
              <w:rPr>
                <w:rFonts w:hint="default" w:ascii="Times New Roman" w:hAnsi="Times New Roman" w:cs="Times New Roman"/>
                <w:b w:val="0"/>
                <w:bCs/>
              </w:rPr>
            </w:pPr>
            <w:r>
              <w:rPr>
                <w:rFonts w:hint="default" w:ascii="Times New Roman" w:hAnsi="Times New Roman" w:cs="Times New Roman"/>
                <w:b/>
                <w:bCs w:val="0"/>
              </w:rPr>
              <w:t xml:space="preserve">LTM and L3 HO: </w:t>
            </w:r>
          </w:p>
          <w:p w14:paraId="17964F93">
            <w:pPr>
              <w:numPr>
                <w:ilvl w:val="0"/>
                <w:numId w:val="0"/>
              </w:numPr>
              <w:spacing w:after="0"/>
              <w:rPr>
                <w:rFonts w:hint="default" w:ascii="Times New Roman" w:hAnsi="Times New Roman" w:cs="Times New Roman"/>
                <w:b w:val="0"/>
                <w:bCs/>
              </w:rPr>
            </w:pPr>
          </w:p>
          <w:p w14:paraId="6E162D55">
            <w:pPr>
              <w:numPr>
                <w:ilvl w:val="0"/>
                <w:numId w:val="16"/>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L3 mobility (including both the network triggered L3 HO and CHO) can be configured to UE, while the inter-CU LTM is configured (w/o DC), and the following items can be considered (follow Rel-18 intra-CU LTM):</w:t>
            </w:r>
          </w:p>
          <w:p w14:paraId="490ECA80">
            <w:pPr>
              <w:numPr>
                <w:ilvl w:val="0"/>
                <w:numId w:val="0"/>
              </w:numPr>
              <w:spacing w:after="0"/>
              <w:rPr>
                <w:rFonts w:hint="default" w:ascii="Times New Roman" w:hAnsi="Times New Roman" w:cs="Times New Roman"/>
                <w:b w:val="0"/>
                <w:bCs/>
                <w:lang w:val="en-IN"/>
              </w:rPr>
            </w:pPr>
            <w:r>
              <w:rPr>
                <w:rFonts w:hint="default" w:ascii="Times New Roman" w:hAnsi="Times New Roman" w:cs="Times New Roman"/>
                <w:b w:val="0"/>
                <w:bCs/>
              </w:rPr>
              <w:tab/>
            </w:r>
            <w:r>
              <w:rPr>
                <w:rFonts w:hint="default" w:ascii="Times New Roman" w:hAnsi="Times New Roman" w:cs="Times New Roman"/>
                <w:b w:val="0"/>
                <w:bCs/>
              </w:rPr>
              <w:t>- When performing the L3 mobility (HO or CHO), the UE does not autonomously release inter-CU LTM configurations, unless these are explicitly released by the network.</w:t>
            </w:r>
            <w:r>
              <w:rPr>
                <w:rFonts w:hint="default" w:ascii="Times New Roman" w:hAnsi="Times New Roman" w:cs="Times New Roman"/>
                <w:b w:val="0"/>
                <w:bCs/>
                <w:lang w:val="en-IN"/>
              </w:rPr>
              <w:t xml:space="preserve"> </w:t>
            </w:r>
          </w:p>
          <w:p w14:paraId="0C77263A">
            <w:pPr>
              <w:numPr>
                <w:ilvl w:val="0"/>
                <w:numId w:val="0"/>
              </w:numPr>
              <w:spacing w:after="0"/>
              <w:rPr>
                <w:rFonts w:hint="default" w:ascii="Times New Roman" w:hAnsi="Times New Roman" w:cs="Times New Roman"/>
                <w:b w:val="0"/>
                <w:bCs/>
              </w:rPr>
            </w:pPr>
            <w:r>
              <w:rPr>
                <w:rFonts w:hint="default" w:ascii="Times New Roman" w:hAnsi="Times New Roman" w:cs="Times New Roman"/>
                <w:b w:val="0"/>
                <w:bCs/>
              </w:rPr>
              <w:tab/>
            </w:r>
            <w:r>
              <w:rPr>
                <w:rFonts w:hint="default" w:ascii="Times New Roman" w:hAnsi="Times New Roman" w:cs="Times New Roman"/>
                <w:b w:val="0"/>
                <w:bCs/>
              </w:rPr>
              <w:t>- The RRC</w:t>
            </w:r>
            <w:r>
              <w:rPr>
                <w:rFonts w:hint="default" w:ascii="Times New Roman" w:hAnsi="Times New Roman" w:cs="Times New Roman"/>
                <w:b w:val="0"/>
                <w:bCs/>
                <w:lang w:val="en-IN"/>
              </w:rPr>
              <w:t xml:space="preserve"> </w:t>
            </w:r>
            <w:r>
              <w:rPr>
                <w:rFonts w:hint="default" w:ascii="Times New Roman" w:hAnsi="Times New Roman" w:cs="Times New Roman"/>
                <w:b w:val="0"/>
                <w:bCs/>
              </w:rPr>
              <w:t>Reconfiguration message to execute an L3 mobility (HO or CHO) procedure may reconfigure inter-CU LTM configurations.</w:t>
            </w:r>
          </w:p>
          <w:p w14:paraId="1EA2BE76">
            <w:pPr>
              <w:numPr>
                <w:ilvl w:val="0"/>
                <w:numId w:val="0"/>
              </w:numPr>
              <w:spacing w:after="0"/>
              <w:rPr>
                <w:rFonts w:hint="default" w:ascii="Times New Roman" w:hAnsi="Times New Roman" w:cs="Times New Roman"/>
                <w:b w:val="0"/>
                <w:bCs/>
              </w:rPr>
            </w:pPr>
            <w:r>
              <w:rPr>
                <w:rFonts w:hint="default" w:ascii="Times New Roman" w:hAnsi="Times New Roman" w:cs="Times New Roman"/>
                <w:b w:val="0"/>
                <w:bCs/>
              </w:rPr>
              <w:tab/>
            </w:r>
            <w:r>
              <w:rPr>
                <w:rFonts w:hint="default" w:ascii="Times New Roman" w:hAnsi="Times New Roman" w:cs="Times New Roman"/>
                <w:b w:val="0"/>
                <w:bCs/>
              </w:rPr>
              <w:t>- For the execution order between CHO and LTM, Rel-18 principle is applied.</w:t>
            </w:r>
          </w:p>
          <w:p w14:paraId="1D2D216F">
            <w:pPr>
              <w:numPr>
                <w:ilvl w:val="0"/>
                <w:numId w:val="0"/>
              </w:numPr>
              <w:spacing w:after="0"/>
              <w:rPr>
                <w:rFonts w:hint="default" w:ascii="Times New Roman" w:hAnsi="Times New Roman" w:cs="Times New Roman"/>
                <w:b/>
                <w:bCs w:val="0"/>
              </w:rPr>
            </w:pPr>
          </w:p>
          <w:p w14:paraId="0D82D22A">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Inter-CU SCG LTM:</w:t>
            </w:r>
          </w:p>
          <w:p w14:paraId="7EE6B69C">
            <w:pPr>
              <w:numPr>
                <w:ilvl w:val="0"/>
                <w:numId w:val="0"/>
              </w:numPr>
              <w:spacing w:after="0"/>
              <w:rPr>
                <w:rFonts w:hint="default" w:ascii="Times New Roman" w:hAnsi="Times New Roman" w:cs="Times New Roman"/>
                <w:b/>
                <w:bCs w:val="0"/>
              </w:rPr>
            </w:pPr>
          </w:p>
          <w:p w14:paraId="1123EBC1">
            <w:pPr>
              <w:numPr>
                <w:ilvl w:val="0"/>
                <w:numId w:val="17"/>
              </w:numPr>
              <w:spacing w:after="0"/>
              <w:rPr>
                <w:rFonts w:hint="default" w:ascii="Times New Roman" w:hAnsi="Times New Roman" w:cs="Times New Roman"/>
                <w:b w:val="0"/>
                <w:bCs/>
              </w:rPr>
            </w:pPr>
            <w:r>
              <w:rPr>
                <w:rFonts w:hint="default" w:ascii="Times New Roman" w:hAnsi="Times New Roman" w:cs="Times New Roman"/>
                <w:b w:val="0"/>
                <w:bCs/>
              </w:rPr>
              <w:t>Inter-CU SCG LTM preparation can be initiated by source SN.</w:t>
            </w:r>
          </w:p>
          <w:p w14:paraId="2C145FDF">
            <w:pPr>
              <w:numPr>
                <w:ilvl w:val="0"/>
                <w:numId w:val="0"/>
              </w:numPr>
              <w:spacing w:after="0"/>
              <w:rPr>
                <w:rFonts w:hint="default" w:ascii="Times New Roman" w:hAnsi="Times New Roman" w:cs="Times New Roman"/>
                <w:b w:val="0"/>
                <w:bCs/>
              </w:rPr>
            </w:pPr>
          </w:p>
          <w:p w14:paraId="6E6685D1">
            <w:pPr>
              <w:numPr>
                <w:ilvl w:val="0"/>
                <w:numId w:val="17"/>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The inter-CU SCG LTM configuration, SN generates SCG part configuration, MN includes it into its MN RRC configuration message.</w:t>
            </w:r>
          </w:p>
          <w:p w14:paraId="284C9DB6">
            <w:pPr>
              <w:numPr>
                <w:ilvl w:val="0"/>
                <w:numId w:val="0"/>
              </w:numPr>
              <w:spacing w:after="0"/>
              <w:ind w:leftChars="0"/>
              <w:rPr>
                <w:rFonts w:hint="default" w:ascii="Times New Roman" w:hAnsi="Times New Roman" w:cs="Times New Roman"/>
                <w:b w:val="0"/>
                <w:bCs/>
              </w:rPr>
            </w:pPr>
          </w:p>
          <w:p w14:paraId="1E7038D6">
            <w:pPr>
              <w:numPr>
                <w:ilvl w:val="0"/>
                <w:numId w:val="17"/>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For inter-CU SCG LTM, the LTM cell switch command MAC CE is sent by source SN.</w:t>
            </w:r>
          </w:p>
          <w:p w14:paraId="5569225A">
            <w:pPr>
              <w:numPr>
                <w:ilvl w:val="0"/>
                <w:numId w:val="0"/>
              </w:numPr>
              <w:spacing w:after="0"/>
              <w:ind w:leftChars="0"/>
              <w:rPr>
                <w:rFonts w:hint="default" w:ascii="Times New Roman" w:hAnsi="Times New Roman" w:cs="Times New Roman"/>
                <w:b w:val="0"/>
                <w:bCs/>
              </w:rPr>
            </w:pPr>
          </w:p>
          <w:p w14:paraId="2599580D">
            <w:pPr>
              <w:numPr>
                <w:ilvl w:val="0"/>
                <w:numId w:val="17"/>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RAN2 understands for the security key update of inter-CU SCG LTM, SCPAC security key update mechanism is taken as baseline. We will send LS to SA3 to ask them to take it into account for their works.</w:t>
            </w:r>
          </w:p>
          <w:p w14:paraId="6A8B4A75">
            <w:pPr>
              <w:numPr>
                <w:ilvl w:val="0"/>
                <w:numId w:val="0"/>
              </w:numPr>
              <w:spacing w:after="0"/>
              <w:ind w:leftChars="0"/>
              <w:rPr>
                <w:rFonts w:hint="default" w:ascii="Times New Roman" w:hAnsi="Times New Roman" w:cs="Times New Roman"/>
                <w:b w:val="0"/>
                <w:bCs/>
              </w:rPr>
            </w:pPr>
          </w:p>
          <w:p w14:paraId="0416460A">
            <w:pPr>
              <w:numPr>
                <w:ilvl w:val="0"/>
                <w:numId w:val="17"/>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Only SN-initiated inter-SN LTM (including LTM configuration, early DL/UL synch and LTM execution) is supported in Rel-19.</w:t>
            </w:r>
          </w:p>
          <w:p w14:paraId="5DC86B60">
            <w:pPr>
              <w:numPr>
                <w:ilvl w:val="0"/>
                <w:numId w:val="0"/>
              </w:numPr>
              <w:spacing w:after="0"/>
              <w:rPr>
                <w:rFonts w:hint="default" w:ascii="Times New Roman" w:hAnsi="Times New Roman" w:cs="Times New Roman"/>
                <w:b w:val="0"/>
                <w:bCs/>
              </w:rPr>
            </w:pPr>
          </w:p>
          <w:p w14:paraId="7766631F">
            <w:pPr>
              <w:numPr>
                <w:ilvl w:val="0"/>
                <w:numId w:val="0"/>
              </w:numPr>
              <w:spacing w:after="0"/>
              <w:rPr>
                <w:rFonts w:hint="default" w:ascii="Times New Roman" w:hAnsi="Times New Roman" w:cs="Times New Roman"/>
                <w:b/>
                <w:bCs w:val="0"/>
              </w:rPr>
            </w:pPr>
            <w:r>
              <w:rPr>
                <w:rFonts w:hint="default" w:ascii="Times New Roman" w:hAnsi="Times New Roman" w:cs="Times New Roman"/>
                <w:b/>
                <w:bCs w:val="0"/>
              </w:rPr>
              <w:t>Inter-CU MCG LTM:</w:t>
            </w:r>
          </w:p>
          <w:p w14:paraId="77EB22A4">
            <w:pPr>
              <w:numPr>
                <w:ilvl w:val="0"/>
                <w:numId w:val="0"/>
              </w:numPr>
              <w:spacing w:after="0"/>
              <w:rPr>
                <w:rFonts w:hint="default" w:ascii="Times New Roman" w:hAnsi="Times New Roman" w:cs="Times New Roman"/>
                <w:b/>
                <w:bCs w:val="0"/>
              </w:rPr>
            </w:pPr>
          </w:p>
          <w:p w14:paraId="1CC4445B">
            <w:pPr>
              <w:numPr>
                <w:ilvl w:val="0"/>
                <w:numId w:val="17"/>
              </w:numPr>
              <w:spacing w:after="0"/>
              <w:ind w:left="0" w:leftChars="0" w:firstLine="0" w:firstLineChars="0"/>
              <w:rPr>
                <w:rFonts w:hint="default" w:ascii="Times New Roman" w:hAnsi="Times New Roman" w:cs="Times New Roman"/>
                <w:b w:val="0"/>
                <w:bCs/>
              </w:rPr>
            </w:pPr>
            <w:r>
              <w:rPr>
                <w:rFonts w:hint="default" w:ascii="Times New Roman" w:hAnsi="Times New Roman" w:cs="Times New Roman"/>
                <w:b w:val="0"/>
                <w:bCs/>
              </w:rPr>
              <w:t>SCG configuration can be changed in inter-CU MN and leave how to handle SCG part up to NW implementation (e.g. release or reconfiguration).</w:t>
            </w:r>
          </w:p>
          <w:p w14:paraId="6B4B435F">
            <w:pPr>
              <w:numPr>
                <w:ilvl w:val="0"/>
                <w:numId w:val="0"/>
              </w:numPr>
              <w:spacing w:after="0"/>
              <w:ind w:leftChars="0"/>
              <w:rPr>
                <w:rFonts w:hint="default" w:ascii="Times New Roman" w:hAnsi="Times New Roman" w:cs="Times New Roman"/>
                <w:b w:val="0"/>
                <w:bCs/>
              </w:rPr>
            </w:pPr>
          </w:p>
          <w:p w14:paraId="014778F6">
            <w:pPr>
              <w:numPr>
                <w:ilvl w:val="0"/>
                <w:numId w:val="17"/>
              </w:numPr>
              <w:spacing w:after="0"/>
              <w:ind w:left="0" w:leftChars="0" w:firstLine="0" w:firstLineChars="0"/>
              <w:rPr>
                <w:rFonts w:hint="default" w:ascii="Times New Roman" w:hAnsi="Times New Roman" w:cs="Times New Roman"/>
                <w:b w:val="0"/>
                <w:bCs/>
                <w:lang w:val="en-IN"/>
              </w:rPr>
            </w:pPr>
            <w:r>
              <w:rPr>
                <w:rFonts w:hint="default" w:ascii="Times New Roman" w:hAnsi="Times New Roman" w:cs="Times New Roman"/>
                <w:b w:val="0"/>
                <w:bCs/>
              </w:rPr>
              <w:t>Upon execution of inter-CU MN LTM with DC, the UE is required to perform refresh of security key, re-establishment of RLC and PDCP, and MAC reset at both MN and SN side (i.e. Rel-15 principle is applied)</w:t>
            </w:r>
            <w:r>
              <w:rPr>
                <w:rFonts w:hint="default" w:ascii="Times New Roman" w:hAnsi="Times New Roman" w:cs="Times New Roman"/>
                <w:b w:val="0"/>
                <w:bCs/>
                <w:lang w:val="en-IN"/>
              </w:rPr>
              <w:t>.</w:t>
            </w:r>
          </w:p>
          <w:p w14:paraId="47B75C4E">
            <w:pPr>
              <w:numPr>
                <w:ilvl w:val="0"/>
                <w:numId w:val="0"/>
              </w:numPr>
              <w:spacing w:after="0"/>
              <w:ind w:leftChars="0"/>
              <w:rPr>
                <w:rFonts w:hint="default" w:ascii="Times New Roman" w:hAnsi="Times New Roman" w:cs="Times New Roman"/>
                <w:b w:val="0"/>
                <w:bCs/>
                <w:lang w:val="en-IN"/>
              </w:rPr>
            </w:pPr>
          </w:p>
          <w:p w14:paraId="4107EB95">
            <w:pPr>
              <w:numPr>
                <w:ilvl w:val="0"/>
                <w:numId w:val="17"/>
              </w:numPr>
              <w:spacing w:after="0"/>
              <w:ind w:left="0" w:leftChars="0" w:firstLine="0" w:firstLineChars="0"/>
              <w:rPr>
                <w:rFonts w:hint="default" w:ascii="Times New Roman" w:hAnsi="Times New Roman" w:cs="Times New Roman"/>
                <w:b/>
                <w:bCs w:val="0"/>
              </w:rPr>
            </w:pPr>
            <w:r>
              <w:rPr>
                <w:rFonts w:hint="default" w:ascii="Times New Roman" w:hAnsi="Times New Roman" w:cs="Times New Roman"/>
                <w:b w:val="0"/>
                <w:bCs/>
              </w:rPr>
              <w:t>For the SN key update in inter-CU MN LTM with DC, the UE applies legacy R15 RRC reconfiguration with sync procedure.</w:t>
            </w:r>
          </w:p>
          <w:p w14:paraId="5C084567">
            <w:pPr>
              <w:numPr>
                <w:ilvl w:val="0"/>
                <w:numId w:val="0"/>
              </w:numPr>
              <w:spacing w:after="0"/>
              <w:rPr>
                <w:rFonts w:hint="default" w:ascii="Times New Roman" w:hAnsi="Times New Roman" w:cs="Times New Roman"/>
                <w:bCs/>
              </w:rPr>
            </w:pP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This contribution discussed different aspect to support inter-CU mobility design.</w:t>
      </w:r>
    </w:p>
    <w:p w14:paraId="5309D50D">
      <w:pPr>
        <w:pStyle w:val="2"/>
        <w:ind w:hanging="792"/>
        <w:rPr>
          <w:rFonts w:hint="default" w:ascii="Times New Roman" w:hAnsi="Times New Roman" w:cs="Times New Roman"/>
        </w:rPr>
      </w:pPr>
      <w:r>
        <w:rPr>
          <w:rFonts w:hint="default" w:ascii="Times New Roman" w:hAnsi="Times New Roman" w:cs="Times New Roman"/>
        </w:rPr>
        <w:t>Discussion</w:t>
      </w:r>
      <w:r>
        <w:rPr>
          <w:rFonts w:hint="default" w:ascii="Times New Roman" w:hAnsi="Times New Roman" w:cs="Times New Roman"/>
          <w:lang w:val="en-IN"/>
        </w:rPr>
        <w:t xml:space="preserve"> on Inter CU LTM</w:t>
      </w:r>
    </w:p>
    <w:p w14:paraId="023EAE17">
      <w:pPr>
        <w:ind w:left="640" w:hanging="640" w:hangingChars="200"/>
        <w:rPr>
          <w:rFonts w:hint="default" w:ascii="Times New Roman" w:hAnsi="Times New Roman" w:eastAsia="SimSun" w:cs="Times New Roman"/>
          <w:sz w:val="32"/>
          <w:szCs w:val="32"/>
          <w:lang w:val="en-IN" w:eastAsia="zh-CN" w:bidi="ar-SA"/>
        </w:rPr>
      </w:pPr>
      <w:bookmarkStart w:id="2" w:name="OLE_LINK21"/>
      <w:bookmarkStart w:id="3" w:name="OLE_LINK20"/>
      <w:bookmarkStart w:id="4" w:name="OLE_LINK161"/>
      <w:r>
        <w:rPr>
          <w:rFonts w:hint="default" w:ascii="Times New Roman" w:hAnsi="Times New Roman" w:cs="Times New Roman"/>
          <w:sz w:val="32"/>
          <w:szCs w:val="32"/>
          <w:lang w:val="en-IN" w:eastAsia="zh-CN" w:bidi="ar-SA"/>
        </w:rPr>
        <w:t>2.1 Signaling design for Inter-CU SCG LTM configuration</w:t>
      </w:r>
      <w:r>
        <w:rPr>
          <w:rFonts w:hint="default" w:ascii="Times New Roman" w:hAnsi="Times New Roman" w:eastAsia="SimSun" w:cs="Times New Roman"/>
          <w:sz w:val="32"/>
          <w:szCs w:val="32"/>
          <w:lang w:val="en-IN" w:eastAsia="zh-CN" w:bidi="ar-SA"/>
        </w:rPr>
        <w:t xml:space="preserve"> </w:t>
      </w:r>
    </w:p>
    <w:p w14:paraId="2A74CB4D">
      <w:pPr>
        <w:numPr>
          <w:ilvl w:val="0"/>
          <w:numId w:val="0"/>
        </w:numPr>
        <w:ind w:left="420" w:left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1:</w:t>
      </w:r>
      <w:r>
        <w:rPr>
          <w:rFonts w:hint="default" w:ascii="Times New Roman" w:hAnsi="Times New Roman" w:eastAsia="Malgun Gothic" w:cs="Times New Roman"/>
          <w:b w:val="0"/>
          <w:bCs w:val="0"/>
          <w:lang w:val="en-IN" w:eastAsia="zh-CN"/>
        </w:rPr>
        <w:t xml:space="preserve"> According to #RAN2 127 agreements on Inter CU SCG LTM, the signalling procedure is depicted in Figure 1. Here, the LTM Preparation is initiated by source SN. Based on L1 measurement report, SN triggers the LTM cell switch command through MAC-CE. MCG/MN facilitates the overall execution process. </w:t>
      </w:r>
    </w:p>
    <w:p w14:paraId="412A10C5">
      <w:pPr>
        <w:jc w:val="center"/>
        <w:rPr>
          <w:rFonts w:hint="default" w:ascii="Times New Roman" w:hAnsi="Times New Roman" w:cs="Times New Roman"/>
          <w:lang w:val="en-IN"/>
        </w:rPr>
      </w:pPr>
      <w:r>
        <w:rPr>
          <w:rFonts w:hint="default" w:ascii="Times New Roman" w:hAnsi="Times New Roman" w:cs="Times New Roman"/>
          <w:lang w:val="en-IN"/>
        </w:rPr>
        <w:drawing>
          <wp:inline distT="0" distB="0" distL="114300" distR="114300">
            <wp:extent cx="5166360" cy="8662035"/>
            <wp:effectExtent l="0" t="0" r="0" b="9525"/>
            <wp:docPr id="2" name="Picture 2" descr="Inter CU SCG L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nter CU SCG LTM"/>
                    <pic:cNvPicPr>
                      <a:picLocks noChangeAspect="1"/>
                    </pic:cNvPicPr>
                  </pic:nvPicPr>
                  <pic:blipFill>
                    <a:blip r:embed="rId6"/>
                    <a:stretch>
                      <a:fillRect/>
                    </a:stretch>
                  </pic:blipFill>
                  <pic:spPr>
                    <a:xfrm>
                      <a:off x="0" y="0"/>
                      <a:ext cx="5166360" cy="8662035"/>
                    </a:xfrm>
                    <a:prstGeom prst="rect">
                      <a:avLst/>
                    </a:prstGeom>
                  </pic:spPr>
                </pic:pic>
              </a:graphicData>
            </a:graphic>
          </wp:inline>
        </w:drawing>
      </w:r>
    </w:p>
    <w:p w14:paraId="4F84A74D">
      <w:pPr>
        <w:ind w:firstLine="1004" w:firstLineChars="500"/>
        <w:jc w:val="center"/>
        <w:rPr>
          <w:rFonts w:hint="default" w:ascii="Times New Roman" w:hAnsi="Times New Roman" w:cs="Times New Roman"/>
          <w:b/>
          <w:bCs/>
          <w:lang w:val="en-IN" w:eastAsia="zh-CN"/>
        </w:rPr>
      </w:pPr>
      <w:r>
        <w:rPr>
          <w:rFonts w:hint="default" w:ascii="Times New Roman" w:hAnsi="Times New Roman" w:cs="Times New Roman"/>
          <w:b/>
          <w:bCs/>
          <w:lang w:val="en-IN"/>
        </w:rPr>
        <w:t xml:space="preserve">Figure 1: Signalling </w:t>
      </w:r>
      <w:r>
        <w:rPr>
          <w:rFonts w:hint="default" w:ascii="Times New Roman" w:hAnsi="Times New Roman" w:cs="Times New Roman"/>
          <w:b/>
          <w:bCs/>
          <w:lang w:val="en-IN" w:eastAsia="zh-CN"/>
        </w:rPr>
        <w:t>Procedure of Inter-CU SCG LTM initiated by SN/SCG</w:t>
      </w:r>
    </w:p>
    <w:p w14:paraId="7656EDCE">
      <w:pPr>
        <w:rPr>
          <w:rFonts w:hint="default" w:ascii="Times New Roman" w:hAnsi="Times New Roman" w:cs="Times New Roman"/>
          <w:b/>
          <w:bCs/>
          <w:lang w:val="en-IN"/>
        </w:rPr>
      </w:pPr>
      <w:r>
        <w:rPr>
          <w:rFonts w:hint="default" w:ascii="Times New Roman" w:hAnsi="Times New Roman" w:cs="Times New Roman"/>
          <w:b/>
          <w:bCs/>
          <w:lang w:val="en-IN"/>
        </w:rPr>
        <w:t>Proposal 1: For Inter CU SCG LTM, the signalling procedure is depicted for SN initiated case. The candidate configuration should be consolidated by source SN in MN format and forwards it to UE through MN. Moreover, MN forwards the consolidated SCG candidate to other potential SCG’s for subsequent SCG LTM operation.</w:t>
      </w:r>
    </w:p>
    <w:p w14:paraId="0E664F3C">
      <w:pPr>
        <w:pStyle w:val="3"/>
        <w:numPr>
          <w:ilvl w:val="1"/>
          <w:numId w:val="0"/>
        </w:numPr>
        <w:ind w:leftChars="0"/>
        <w:rPr>
          <w:rFonts w:hint="default" w:ascii="Times New Roman" w:hAnsi="Times New Roman" w:cs="Times New Roman"/>
        </w:rPr>
      </w:pPr>
      <w:r>
        <w:rPr>
          <w:rFonts w:hint="default" w:ascii="Times New Roman" w:hAnsi="Times New Roman" w:cs="Times New Roman"/>
          <w:lang w:val="en-IN" w:eastAsia="ko-KR"/>
        </w:rPr>
        <w:t xml:space="preserve">2.2 Network interaction on inter-CU SCG LTM  </w:t>
      </w:r>
    </w:p>
    <w:p w14:paraId="7B88338F">
      <w:pPr>
        <w:rPr>
          <w:rFonts w:hint="default" w:ascii="Times New Roman" w:hAnsi="Times New Roman" w:cs="Times New Roman"/>
          <w:b w:val="0"/>
          <w:bCs w:val="0"/>
          <w:lang w:val="en-IN"/>
        </w:rPr>
      </w:pPr>
      <w:r>
        <w:rPr>
          <w:rFonts w:hint="default" w:ascii="Times New Roman" w:hAnsi="Times New Roman" w:cs="Times New Roman"/>
          <w:b/>
          <w:bCs/>
          <w:lang w:val="en-IN"/>
        </w:rPr>
        <w:t xml:space="preserve">Observation 2: </w:t>
      </w:r>
      <w:r>
        <w:rPr>
          <w:rFonts w:hint="default" w:ascii="Times New Roman" w:hAnsi="Times New Roman" w:cs="Times New Roman"/>
          <w:b w:val="0"/>
          <w:bCs w:val="0"/>
          <w:lang w:val="en-IN"/>
        </w:rPr>
        <w:t xml:space="preserve">According to TS 37.340 [2], QoS flows from the same PDU session may be mapped to different bearer types. As a result, there may be two SDAP (Service Data Adaptation Protocol) entities for the same PDU session: one located at the Master Node (MN) and the other at the Secondary Node (SN). </w:t>
      </w:r>
    </w:p>
    <w:p w14:paraId="24351A02">
      <w:pPr>
        <w:rPr>
          <w:rFonts w:hint="default" w:ascii="Times New Roman" w:hAnsi="Times New Roman" w:cs="Times New Roman"/>
          <w:b w:val="0"/>
          <w:bCs w:val="0"/>
          <w:lang w:val="en-IN"/>
        </w:rPr>
      </w:pPr>
      <w:r>
        <w:rPr>
          <w:rFonts w:hint="default" w:ascii="Times New Roman" w:hAnsi="Times New Roman" w:cs="Times New Roman"/>
          <w:b w:val="0"/>
          <w:bCs w:val="0"/>
          <w:lang w:val="en-IN"/>
        </w:rPr>
        <w:t>In order to enable Inter CU SCG LTM, RAN2 needs to investigate the possibilities of SDAP entity to be hosted by either MN or SN node. In general,</w:t>
      </w:r>
    </w:p>
    <w:p w14:paraId="509C4F87">
      <w:pPr>
        <w:keepNext w:val="0"/>
        <w:keepLines w:val="0"/>
        <w:widowControl/>
        <w:numPr>
          <w:ilvl w:val="0"/>
          <w:numId w:val="18"/>
        </w:numPr>
        <w:suppressLineNumbers w:val="0"/>
        <w:ind w:left="420" w:leftChars="0" w:hanging="420" w:firstLineChars="0"/>
        <w:rPr>
          <w:rFonts w:hint="default" w:ascii="Times New Roman" w:hAnsi="Times New Roman" w:cs="Times New Roman"/>
        </w:rPr>
      </w:pPr>
      <w:r>
        <w:rPr>
          <w:rFonts w:hint="default" w:ascii="Times New Roman" w:hAnsi="Times New Roman" w:cs="Times New Roman"/>
        </w:rPr>
        <w:t>The node (MN or SN) hosting the SDAP entity for a specific QoS flow is responsible for mapping the QoS flow to the corresponding DRBs (Data Radio Bearers).</w:t>
      </w:r>
    </w:p>
    <w:p w14:paraId="2F2BF466">
      <w:pPr>
        <w:keepNext w:val="0"/>
        <w:keepLines w:val="0"/>
        <w:widowControl/>
        <w:numPr>
          <w:ilvl w:val="0"/>
          <w:numId w:val="18"/>
        </w:numPr>
        <w:suppressLineNumbers w:val="0"/>
        <w:ind w:left="420" w:leftChars="0" w:hanging="420" w:firstLineChars="0"/>
        <w:rPr>
          <w:rFonts w:hint="default" w:ascii="Times New Roman" w:hAnsi="Times New Roman" w:cs="Times New Roman"/>
        </w:rPr>
      </w:pPr>
      <w:r>
        <w:rPr>
          <w:rFonts w:hint="default" w:ascii="Times New Roman" w:hAnsi="Times New Roman" w:cs="Times New Roman"/>
        </w:rPr>
        <w:t>If the SDAP entity for a QoS flow is hosted by the MN and SCG (Secondary Cell Group) resources are configured, the MN provides the SN with DRB-level QoS parameters, which the SN may reject, and QoS flow to DRB mapping details.</w:t>
      </w:r>
    </w:p>
    <w:p w14:paraId="1399AA7F">
      <w:pPr>
        <w:keepNext w:val="0"/>
        <w:keepLines w:val="0"/>
        <w:widowControl/>
        <w:numPr>
          <w:ilvl w:val="0"/>
          <w:numId w:val="18"/>
        </w:numPr>
        <w:suppressLineNumbers w:val="0"/>
        <w:ind w:left="420" w:leftChars="0" w:hanging="420" w:firstLineChars="0"/>
        <w:rPr>
          <w:rFonts w:hint="default" w:ascii="Times New Roman" w:hAnsi="Times New Roman" w:cs="Times New Roman"/>
        </w:rPr>
      </w:pPr>
      <w:r>
        <w:rPr>
          <w:rFonts w:hint="default" w:ascii="Times New Roman" w:hAnsi="Times New Roman" w:cs="Times New Roman"/>
        </w:rPr>
        <w:t>Conversely, if the SDAP entity for a QoS flow is hosted by the SN, and MCG (Master Cell Group) resources are configured based on information from the MN, the SN shares DRB-level QoS parameters and QoS flow to DRB mapping details with the MN. The MN retains the right to reject the parameters.</w:t>
      </w:r>
    </w:p>
    <w:p w14:paraId="6241514E">
      <w:pPr>
        <w:keepNext w:val="0"/>
        <w:keepLines w:val="0"/>
        <w:widowControl/>
        <w:numPr>
          <w:ilvl w:val="0"/>
          <w:numId w:val="18"/>
        </w:numPr>
        <w:suppressLineNumbers w:val="0"/>
        <w:ind w:left="420" w:leftChars="0" w:hanging="420" w:firstLineChars="0"/>
        <w:rPr>
          <w:rFonts w:hint="default" w:ascii="Times New Roman" w:hAnsi="Times New Roman" w:cs="Times New Roman"/>
        </w:rPr>
      </w:pPr>
      <w:r>
        <w:rPr>
          <w:rFonts w:hint="default" w:ascii="Times New Roman" w:hAnsi="Times New Roman" w:cs="Times New Roman"/>
        </w:rPr>
        <w:t>If the SN is hosting the SDAP entity, the MN must provide adequate QoS information for the SN to configure SCG resources or request MCG resource configurations. The MN can offer MCG resources for GBR (Guaranteed Bit Rate) QoS flows or indicate the specific amount available to the SN. Otherwise, the SN can only use SCG resources for the QoS flow. The SN may request the MN to release certain QoS flows from its SDAP entity, and the MN cannot deny this request. The MN may also offer MCG resources for non-GBR QoS flows.</w:t>
      </w:r>
    </w:p>
    <w:p w14:paraId="3B2E9E2C">
      <w:pPr>
        <w:keepNext w:val="0"/>
        <w:keepLines w:val="0"/>
        <w:widowControl/>
        <w:numPr>
          <w:ilvl w:val="0"/>
          <w:numId w:val="18"/>
        </w:numPr>
        <w:suppressLineNumbers w:val="0"/>
        <w:ind w:left="420" w:leftChars="0" w:hanging="420" w:firstLineChars="0"/>
        <w:rPr>
          <w:rFonts w:hint="default" w:ascii="Times New Roman" w:hAnsi="Times New Roman" w:cs="Times New Roman"/>
        </w:rPr>
      </w:pPr>
      <w:r>
        <w:rPr>
          <w:rFonts w:hint="default" w:ascii="Times New Roman" w:hAnsi="Times New Roman" w:cs="Times New Roman"/>
        </w:rPr>
        <w:t>When the MN assigns an SDAP entity to the SN, some QoS flows may be configured as SCG bearers, some as MCG bearers, and others as split bearers. The SN is responsible for deciding how to realize the QoS flow, though it can only configure SCG bearers if the MN does not offer MCG resources. The SN can modify SCG resources as long as the QoS requirements are maintained.</w:t>
      </w:r>
    </w:p>
    <w:p w14:paraId="7AC2A7EC">
      <w:pPr>
        <w:keepNext w:val="0"/>
        <w:keepLines w:val="0"/>
        <w:widowControl/>
        <w:numPr>
          <w:ilvl w:val="0"/>
          <w:numId w:val="18"/>
        </w:numPr>
        <w:suppressLineNumbers w:val="0"/>
        <w:ind w:left="420" w:leftChars="0" w:hanging="420" w:firstLineChars="0"/>
        <w:rPr>
          <w:rFonts w:hint="default" w:ascii="Times New Roman" w:hAnsi="Times New Roman" w:cs="Times New Roman"/>
        </w:rPr>
      </w:pPr>
      <w:r>
        <w:rPr>
          <w:rFonts w:hint="default" w:ascii="Times New Roman" w:hAnsi="Times New Roman" w:cs="Times New Roman"/>
        </w:rPr>
        <w:t>When the MN decides to host an SDAP entity at the SN, DRB ID coordination between the MN and SN is essential to ensure unique allocation of DRBs for the UE. The SN is responsible for assigning DRB IDs to DRBs that it terminates, based on those provided by the MN.</w:t>
      </w:r>
    </w:p>
    <w:p w14:paraId="4CA57035">
      <w:pPr>
        <w:keepNext w:val="0"/>
        <w:keepLines w:val="0"/>
        <w:widowControl/>
        <w:suppressLineNumbers w:val="0"/>
        <w:rPr>
          <w:rFonts w:hint="default" w:ascii="Times New Roman" w:hAnsi="Times New Roman" w:cs="Times New Roman"/>
          <w:lang w:val="en-IN"/>
        </w:rPr>
      </w:pPr>
      <w:r>
        <w:rPr>
          <w:rFonts w:hint="default" w:ascii="Times New Roman" w:hAnsi="Times New Roman" w:cs="Times New Roman"/>
          <w:b/>
          <w:bCs/>
          <w:lang w:val="en-IN"/>
        </w:rPr>
        <w:t>Proposal 2: In order to enable Inter CU SCG LTM, RAN2 needs to investigate the possibilities of SDAP entity to be hosted by either MN or SN node.</w:t>
      </w:r>
    </w:p>
    <w:p w14:paraId="1567E9BE">
      <w:pPr>
        <w:rPr>
          <w:rFonts w:hint="default" w:ascii="Times New Roman" w:hAnsi="Times New Roman" w:cs="Times New Roman"/>
          <w:b/>
          <w:bCs/>
          <w:lang w:val="en-IN"/>
        </w:rPr>
      </w:pPr>
      <w:r>
        <w:rPr>
          <w:rFonts w:hint="default" w:ascii="Times New Roman" w:hAnsi="Times New Roman" w:cs="Times New Roman"/>
          <w:b/>
          <w:bCs/>
          <w:lang w:val="en-IN"/>
        </w:rPr>
        <w:t>Proposal 3: For Inter CU SCG LTM, the SDAP entity should be hosted by MN to maintain a QOS flow.</w:t>
      </w:r>
    </w:p>
    <w:p w14:paraId="75AB9610">
      <w:pPr>
        <w:rPr>
          <w:rFonts w:hint="default" w:ascii="Times New Roman" w:hAnsi="Times New Roman" w:cs="Times New Roman"/>
          <w:b/>
          <w:bCs/>
          <w:lang w:val="en-IN"/>
        </w:rPr>
      </w:pPr>
      <w:r>
        <w:rPr>
          <w:rFonts w:hint="default" w:ascii="Times New Roman" w:hAnsi="Times New Roman" w:cs="Times New Roman"/>
          <w:b/>
          <w:bCs/>
          <w:lang w:val="en-IN"/>
        </w:rPr>
        <w:t xml:space="preserve">Proposal 4: If MN decides the QoS flow, and then MN should provide the DRB-level QoS parameters to SN through Xn interface. </w:t>
      </w:r>
    </w:p>
    <w:p w14:paraId="1801D1C2">
      <w:pPr>
        <w:rPr>
          <w:rFonts w:hint="default" w:ascii="Times New Roman" w:hAnsi="Times New Roman" w:cs="Times New Roman"/>
          <w:b/>
          <w:bCs/>
          <w:lang w:val="en-IN"/>
        </w:rPr>
      </w:pPr>
      <w:r>
        <w:rPr>
          <w:rFonts w:hint="default" w:ascii="Times New Roman" w:hAnsi="Times New Roman" w:cs="Times New Roman"/>
          <w:b/>
          <w:bCs/>
          <w:lang w:val="en-IN"/>
        </w:rPr>
        <w:t xml:space="preserve">Proposal 5: </w:t>
      </w:r>
      <w:bookmarkEnd w:id="2"/>
      <w:bookmarkEnd w:id="3"/>
      <w:bookmarkEnd w:id="4"/>
      <w:r>
        <w:rPr>
          <w:rFonts w:hint="default" w:ascii="Times New Roman" w:hAnsi="Times New Roman" w:cs="Times New Roman"/>
          <w:b/>
          <w:bCs/>
          <w:lang w:val="en-IN"/>
        </w:rPr>
        <w:t>If MN hosting the SDAP entity, then DRB ID coordination between the MN and SN is essential to ensure unique allocation of DRBs for the UE. So, RAN2 needs to investigate the procedure to allocate unique DRB ID’s across different CU’s.</w:t>
      </w:r>
    </w:p>
    <w:p w14:paraId="1332B35A">
      <w:pPr>
        <w:pStyle w:val="3"/>
        <w:numPr>
          <w:ilvl w:val="1"/>
          <w:numId w:val="0"/>
        </w:numPr>
        <w:ind w:leftChars="0"/>
        <w:jc w:val="left"/>
        <w:rPr>
          <w:rFonts w:hint="default" w:ascii="Times New Roman" w:hAnsi="Times New Roman" w:eastAsia="Malgun Gothic" w:cs="Times New Roman"/>
          <w:lang w:val="en-IN" w:eastAsia="ko-KR"/>
        </w:rPr>
      </w:pPr>
      <w:r>
        <w:rPr>
          <w:rFonts w:hint="default" w:ascii="Times New Roman" w:hAnsi="Times New Roman" w:cs="Times New Roman"/>
          <w:lang w:val="en-IN"/>
        </w:rPr>
        <w:t>2.3 Co-existence of intra-MN/inter-MN MCG LTM</w:t>
      </w:r>
    </w:p>
    <w:p w14:paraId="79A2F744">
      <w:pPr>
        <w:numPr>
          <w:ilvl w:val="0"/>
          <w:numId w:val="0"/>
        </w:numPr>
        <w:rPr>
          <w:rFonts w:hint="default" w:ascii="Times New Roman" w:hAnsi="Times New Roman" w:eastAsia="Malgun Gothic" w:cs="Times New Roman"/>
          <w:lang w:val="en-IN" w:eastAsia="ko-KR"/>
        </w:rPr>
      </w:pPr>
      <w:r>
        <w:rPr>
          <w:rFonts w:hint="default" w:ascii="Times New Roman" w:hAnsi="Times New Roman" w:eastAsia="Malgun Gothic" w:cs="Times New Roman"/>
          <w:b/>
          <w:bCs/>
          <w:lang w:val="en-IN" w:eastAsia="ko-KR"/>
        </w:rPr>
        <w:t>Observation 3:</w:t>
      </w:r>
      <w:r>
        <w:rPr>
          <w:rFonts w:hint="default" w:ascii="Times New Roman" w:hAnsi="Times New Roman" w:eastAsia="Malgun Gothic" w:cs="Times New Roman"/>
          <w:lang w:val="en-IN" w:eastAsia="ko-KR"/>
        </w:rPr>
        <w:t xml:space="preserve"> High-mobility UE’s (e.g., vehicles) may exhibit frequent transitions between MN’s, where inter-MN MCG mobility will be dominant. However, low-mobility UE’s (e.g., pedestrians) may experience more frequent intra-MN MCG mobility. Depending on the mobility pattern, both intra- and inter-MN mobility can coexist based on the mobility class (speed) and direction of movement, Intra MN/Inter MN MCG LTM is dynamically selected. Based on the mobility class, Source MN can initiate either Intra or Inter MN/MCG LTM. The procedures are depicted in Figure 2.</w:t>
      </w:r>
    </w:p>
    <w:p w14:paraId="14316503">
      <w:pPr>
        <w:numPr>
          <w:ilvl w:val="0"/>
          <w:numId w:val="0"/>
        </w:numPr>
        <w:jc w:val="center"/>
        <w:rPr>
          <w:rFonts w:hint="default" w:ascii="Times New Roman" w:hAnsi="Times New Roman" w:eastAsia="Malgun Gothic" w:cs="Times New Roman"/>
          <w:lang w:val="en-IN" w:eastAsia="ko-KR"/>
        </w:rPr>
      </w:pPr>
      <w:r>
        <w:rPr>
          <w:rFonts w:hint="default" w:ascii="Times New Roman" w:hAnsi="Times New Roman" w:eastAsia="Malgun Gothic" w:cs="Times New Roman"/>
          <w:lang w:val="en-IN" w:eastAsia="ko-KR"/>
        </w:rPr>
        <w:drawing>
          <wp:inline distT="0" distB="0" distL="114300" distR="114300">
            <wp:extent cx="5470525" cy="3434715"/>
            <wp:effectExtent l="0" t="0" r="635" b="9525"/>
            <wp:docPr id="1" name="Picture 1" descr="Inter MN Intra MN L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nter MN Intra MN LTM"/>
                    <pic:cNvPicPr>
                      <a:picLocks noChangeAspect="1"/>
                    </pic:cNvPicPr>
                  </pic:nvPicPr>
                  <pic:blipFill>
                    <a:blip r:embed="rId7"/>
                    <a:stretch>
                      <a:fillRect/>
                    </a:stretch>
                  </pic:blipFill>
                  <pic:spPr>
                    <a:xfrm>
                      <a:off x="0" y="0"/>
                      <a:ext cx="5470525" cy="3434715"/>
                    </a:xfrm>
                    <a:prstGeom prst="rect">
                      <a:avLst/>
                    </a:prstGeom>
                  </pic:spPr>
                </pic:pic>
              </a:graphicData>
            </a:graphic>
          </wp:inline>
        </w:drawing>
      </w:r>
    </w:p>
    <w:p w14:paraId="6E4D3EBD">
      <w:pPr>
        <w:ind w:firstLine="1004" w:firstLineChars="500"/>
        <w:jc w:val="center"/>
        <w:rPr>
          <w:rFonts w:hint="default" w:ascii="Times New Roman" w:hAnsi="Times New Roman" w:cs="Times New Roman"/>
          <w:b/>
          <w:bCs/>
          <w:lang w:val="en-IN" w:eastAsia="zh-CN"/>
        </w:rPr>
      </w:pPr>
      <w:r>
        <w:rPr>
          <w:rFonts w:hint="default" w:ascii="Times New Roman" w:hAnsi="Times New Roman" w:cs="Times New Roman"/>
          <w:b/>
          <w:bCs/>
          <w:lang w:val="en-IN"/>
        </w:rPr>
        <w:t>Figure 2: MN Initiated Intra/</w:t>
      </w:r>
      <w:r>
        <w:rPr>
          <w:rFonts w:hint="default" w:ascii="Times New Roman" w:hAnsi="Times New Roman" w:cs="Times New Roman"/>
          <w:b/>
          <w:bCs/>
          <w:lang w:val="en-IN" w:eastAsia="zh-CN"/>
        </w:rPr>
        <w:t xml:space="preserve">Inter-CU MCG LTM </w:t>
      </w:r>
    </w:p>
    <w:p w14:paraId="58B2F1DD">
      <w:pPr>
        <w:numPr>
          <w:ilvl w:val="0"/>
          <w:numId w:val="0"/>
        </w:numPr>
        <w:rPr>
          <w:rFonts w:hint="default" w:ascii="Times New Roman" w:hAnsi="Times New Roman" w:eastAsia="Malgun Gothic" w:cs="Times New Roman"/>
          <w:lang w:val="en-IN" w:eastAsia="ko-KR"/>
        </w:rPr>
      </w:pPr>
      <w:r>
        <w:rPr>
          <w:rFonts w:hint="default" w:ascii="Times New Roman" w:hAnsi="Times New Roman" w:cs="Times New Roman"/>
          <w:b/>
          <w:bCs/>
          <w:lang w:val="en-IN"/>
        </w:rPr>
        <w:t xml:space="preserve">Proposal 6: The co-existence of intra-MN/inter-MN MCG LTM scenarios are more realistic in terms of load balancing. Depending on the mobility class of UE and load balancing considerations, Source MN should initiate Intra CU or Inter CU MCG LTM. Based on that, corresponding candidate configurations will be triggered. </w:t>
      </w:r>
    </w:p>
    <w:p w14:paraId="418152F4">
      <w:pPr>
        <w:pStyle w:val="3"/>
        <w:numPr>
          <w:ilvl w:val="1"/>
          <w:numId w:val="0"/>
        </w:numPr>
        <w:ind w:leftChars="0"/>
        <w:rPr>
          <w:rFonts w:hint="default" w:ascii="Times New Roman" w:hAnsi="Times New Roman" w:cs="Times New Roman"/>
        </w:rPr>
      </w:pPr>
      <w:r>
        <w:rPr>
          <w:rFonts w:hint="default" w:ascii="Times New Roman" w:hAnsi="Times New Roman" w:cs="Times New Roman"/>
          <w:lang w:val="en-IN"/>
        </w:rPr>
        <w:t xml:space="preserve">2.4 Co-existence of inter-SN/intra-SN SCG LTM </w:t>
      </w:r>
      <w:r>
        <w:rPr>
          <w:rFonts w:hint="default" w:ascii="Times New Roman" w:hAnsi="Times New Roman" w:eastAsia="Malgun Gothic" w:cs="Times New Roman"/>
          <w:lang w:val="en-IN" w:eastAsia="ko-KR"/>
        </w:rPr>
        <w:t xml:space="preserve">  </w:t>
      </w:r>
    </w:p>
    <w:p w14:paraId="72A3F1EA">
      <w:pPr>
        <w:rPr>
          <w:rFonts w:hint="default" w:ascii="Times New Roman" w:hAnsi="Times New Roman" w:cs="Times New Roman"/>
          <w:b w:val="0"/>
          <w:bCs w:val="0"/>
          <w:lang w:val="en-IN"/>
        </w:rPr>
      </w:pPr>
      <w:r>
        <w:rPr>
          <w:rFonts w:hint="default" w:ascii="Times New Roman" w:hAnsi="Times New Roman" w:cs="Times New Roman"/>
          <w:b/>
          <w:bCs/>
        </w:rPr>
        <w:t>Observation</w:t>
      </w:r>
      <w:r>
        <w:rPr>
          <w:rFonts w:hint="default" w:ascii="Times New Roman" w:hAnsi="Times New Roman" w:cs="Times New Roman"/>
          <w:b/>
          <w:bCs/>
          <w:lang w:val="en-IN"/>
        </w:rPr>
        <w:t xml:space="preserve"> 4</w:t>
      </w:r>
      <w:r>
        <w:rPr>
          <w:rFonts w:hint="default" w:ascii="Times New Roman" w:hAnsi="Times New Roman" w:cs="Times New Roman"/>
          <w:b/>
          <w:bCs/>
        </w:rPr>
        <w:t xml:space="preserve">: </w:t>
      </w:r>
      <w:r>
        <w:rPr>
          <w:rFonts w:hint="default" w:ascii="Times New Roman" w:hAnsi="Times New Roman" w:cs="Times New Roman"/>
          <w:b w:val="0"/>
          <w:bCs w:val="0"/>
          <w:lang w:val="en-IN"/>
        </w:rPr>
        <w:t>Proposal 6 is applicable here too. But SN deosn’t have direct control of UE’s. Moreover, SN has limited coverage area. In dense urban environments, the switching between intra and inter SN may occur due to traffic conditions and sudden variations in signal strength. The ping pong handover is reduced by using L3 based measurements and it ensures the robustness of the network.</w:t>
      </w:r>
    </w:p>
    <w:p w14:paraId="37FEF5F1">
      <w:pPr>
        <w:numPr>
          <w:ilvl w:val="0"/>
          <w:numId w:val="0"/>
        </w:numPr>
        <w:rPr>
          <w:rFonts w:hint="default" w:ascii="Times New Roman" w:hAnsi="Times New Roman" w:cs="Times New Roman"/>
          <w:b/>
          <w:lang w:val="en-IN" w:eastAsia="ja-JP"/>
        </w:rPr>
      </w:pPr>
      <w:r>
        <w:rPr>
          <w:rFonts w:hint="default" w:ascii="Times New Roman" w:hAnsi="Times New Roman" w:cs="Times New Roman"/>
          <w:b/>
          <w:bCs/>
        </w:rPr>
        <w:t>Proposal</w:t>
      </w:r>
      <w:r>
        <w:rPr>
          <w:rFonts w:hint="default" w:ascii="Times New Roman" w:hAnsi="Times New Roman" w:cs="Times New Roman"/>
          <w:b/>
          <w:bCs/>
          <w:lang w:val="en-IN"/>
        </w:rPr>
        <w:t xml:space="preserve"> 7</w:t>
      </w:r>
      <w:r>
        <w:rPr>
          <w:rFonts w:hint="default" w:ascii="Times New Roman" w:hAnsi="Times New Roman" w:cs="Times New Roman"/>
          <w:b/>
          <w:bCs/>
        </w:rPr>
        <w:t xml:space="preserve"> :</w:t>
      </w:r>
      <w:r>
        <w:rPr>
          <w:rFonts w:hint="default" w:ascii="Times New Roman" w:hAnsi="Times New Roman" w:cs="Times New Roman"/>
          <w:b/>
          <w:bCs/>
          <w:lang w:val="en-IN"/>
        </w:rPr>
        <w:t xml:space="preserve"> The scenarios of concurrent switching between inter-SN/intra-SN SCG LTM is limited.</w:t>
      </w:r>
      <w:r>
        <w:rPr>
          <w:rFonts w:hint="default" w:ascii="Times New Roman" w:hAnsi="Times New Roman" w:cs="Times New Roman"/>
          <w:b/>
          <w:bCs/>
        </w:rPr>
        <w:t xml:space="preserve"> </w:t>
      </w:r>
      <w:r>
        <w:rPr>
          <w:rFonts w:hint="default" w:ascii="Times New Roman" w:hAnsi="Times New Roman" w:cs="Times New Roman"/>
          <w:b/>
          <w:bCs/>
          <w:lang w:val="en-IN"/>
        </w:rPr>
        <w:t>Depends on the mobility class and load balancing considerations, MN can manage it effectively. The configurations of inter-SN/ intra-SN SCG LTM is not mandatory. RAN2 needs to investigate further if required.</w:t>
      </w:r>
    </w:p>
    <w:p w14:paraId="0BABB58C">
      <w:pPr>
        <w:rPr>
          <w:rFonts w:hint="default" w:ascii="Times New Roman" w:hAnsi="Times New Roman" w:cs="Times New Roman"/>
          <w:b/>
          <w:bCs/>
        </w:rPr>
      </w:pPr>
      <w:r>
        <w:rPr>
          <w:rFonts w:hint="default" w:ascii="Times New Roman" w:hAnsi="Times New Roman" w:cs="Times New Roman"/>
          <w:b/>
          <w:bCs/>
        </w:rPr>
        <w:t>Conclusion</w:t>
      </w:r>
    </w:p>
    <w:p w14:paraId="7E40B66E">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3551AC45">
      <w:pPr>
        <w:rPr>
          <w:rFonts w:hint="default" w:ascii="Times New Roman" w:hAnsi="Times New Roman" w:cs="Times New Roman"/>
          <w:b/>
          <w:bCs/>
          <w:lang w:val="en-IN"/>
        </w:rPr>
      </w:pPr>
      <w:r>
        <w:rPr>
          <w:rFonts w:hint="default" w:ascii="Times New Roman" w:hAnsi="Times New Roman" w:cs="Times New Roman"/>
          <w:b/>
          <w:bCs/>
          <w:lang w:val="en-IN"/>
        </w:rPr>
        <w:t>Proposal 1: For Inter CU SCG LTM, the signalling procedure is depicted for SN initiated case. The candidate configuration should be consolidated by source SN and forwards it to UE through MN. Moreover, MN forwards the consolidated SCG candidate to other potential SCG’s for subsequent SCG LTM operation.</w:t>
      </w:r>
    </w:p>
    <w:p w14:paraId="0E03055A">
      <w:pPr>
        <w:keepNext w:val="0"/>
        <w:keepLines w:val="0"/>
        <w:widowControl/>
        <w:suppressLineNumbers w:val="0"/>
        <w:rPr>
          <w:rFonts w:hint="default" w:ascii="Times New Roman" w:hAnsi="Times New Roman" w:cs="Times New Roman"/>
          <w:lang w:val="en-IN"/>
        </w:rPr>
      </w:pPr>
      <w:r>
        <w:rPr>
          <w:rFonts w:hint="default" w:ascii="Times New Roman" w:hAnsi="Times New Roman" w:cs="Times New Roman"/>
          <w:b/>
          <w:bCs/>
          <w:lang w:val="en-IN"/>
        </w:rPr>
        <w:t>Proposal 2: In order to enable Inter CU SCG LTM, RAN2 needs to investigate the possibilities of SDAP entity to be hosted by either MN or SN node.</w:t>
      </w:r>
    </w:p>
    <w:p w14:paraId="642152D3">
      <w:pPr>
        <w:rPr>
          <w:rFonts w:hint="default" w:ascii="Times New Roman" w:hAnsi="Times New Roman" w:cs="Times New Roman"/>
          <w:b/>
          <w:bCs/>
          <w:lang w:val="en-IN"/>
        </w:rPr>
      </w:pPr>
      <w:r>
        <w:rPr>
          <w:rFonts w:hint="default" w:ascii="Times New Roman" w:hAnsi="Times New Roman" w:cs="Times New Roman"/>
          <w:b/>
          <w:bCs/>
          <w:lang w:val="en-IN"/>
        </w:rPr>
        <w:t>Proposal 3: For Inter CU SCG LTM, the SDAP entity should be hosted by MN to maintain a QOS flow.</w:t>
      </w:r>
    </w:p>
    <w:p w14:paraId="57E95163">
      <w:pPr>
        <w:rPr>
          <w:rFonts w:hint="default" w:ascii="Times New Roman" w:hAnsi="Times New Roman" w:cs="Times New Roman"/>
          <w:b/>
          <w:bCs/>
          <w:lang w:val="en-IN"/>
        </w:rPr>
      </w:pPr>
      <w:r>
        <w:rPr>
          <w:rFonts w:hint="default" w:ascii="Times New Roman" w:hAnsi="Times New Roman" w:cs="Times New Roman"/>
          <w:b/>
          <w:bCs/>
          <w:lang w:val="en-IN"/>
        </w:rPr>
        <w:t xml:space="preserve">Proposal 4: If MN decides the QoS flow, and then MN should provide the DRB-level QoS parameters to SN through Xn interface. </w:t>
      </w:r>
    </w:p>
    <w:p w14:paraId="60110120">
      <w:pPr>
        <w:rPr>
          <w:rFonts w:hint="default" w:ascii="Times New Roman" w:hAnsi="Times New Roman" w:cs="Times New Roman"/>
          <w:b/>
          <w:bCs/>
          <w:lang w:val="en-IN"/>
        </w:rPr>
      </w:pPr>
      <w:r>
        <w:rPr>
          <w:rFonts w:hint="default" w:ascii="Times New Roman" w:hAnsi="Times New Roman" w:cs="Times New Roman"/>
          <w:b/>
          <w:bCs/>
          <w:lang w:val="en-IN"/>
        </w:rPr>
        <w:t>Proposal 5: If MN hosting the SDAP entity, then DRB ID coordination between the MN and SN is essential to ensure unique allocation of DRBs for the UE. So, RAN2 needs to investigate the procedure to allocate unique DRB ID’s across different CU’s.</w:t>
      </w:r>
    </w:p>
    <w:p w14:paraId="780F8150">
      <w:pPr>
        <w:numPr>
          <w:ilvl w:val="0"/>
          <w:numId w:val="0"/>
        </w:numPr>
        <w:rPr>
          <w:rFonts w:hint="default" w:ascii="Times New Roman" w:hAnsi="Times New Roman" w:eastAsia="Malgun Gothic" w:cs="Times New Roman"/>
          <w:lang w:val="en-IN" w:eastAsia="ko-KR"/>
        </w:rPr>
      </w:pPr>
      <w:r>
        <w:rPr>
          <w:rFonts w:hint="default" w:ascii="Times New Roman" w:hAnsi="Times New Roman" w:cs="Times New Roman"/>
          <w:b/>
          <w:bCs/>
          <w:lang w:val="en-IN"/>
        </w:rPr>
        <w:t xml:space="preserve">Proposal 6: The co-existence of intra-MN/inter-MN MCG LTM scenarios are more realistic in terms of load balancing. Depending on the mobility class of UE and load balancing considerations, Source MN should initiate Intra CU or Inter CU MCG LTM. Based on that, corresponding candidate configurations will be triggered. </w:t>
      </w:r>
    </w:p>
    <w:p w14:paraId="7779EBF4">
      <w:pPr>
        <w:numPr>
          <w:ilvl w:val="0"/>
          <w:numId w:val="0"/>
        </w:numPr>
        <w:rPr>
          <w:rFonts w:hint="default" w:ascii="Times New Roman" w:hAnsi="Times New Roman" w:eastAsia="Malgun Gothic" w:cs="Times New Roman"/>
          <w:lang w:val="en-IN" w:eastAsia="ko-KR"/>
        </w:rPr>
      </w:pPr>
      <w:bookmarkStart w:id="6" w:name="_GoBack"/>
      <w:bookmarkEnd w:id="6"/>
      <w:r>
        <w:rPr>
          <w:rFonts w:hint="default" w:ascii="Times New Roman" w:hAnsi="Times New Roman" w:cs="Times New Roman"/>
          <w:b/>
          <w:bCs/>
          <w:lang w:val="en-IN"/>
        </w:rPr>
        <w:t xml:space="preserve"> </w:t>
      </w:r>
    </w:p>
    <w:p w14:paraId="6C6129ED">
      <w:pPr>
        <w:numPr>
          <w:ilvl w:val="0"/>
          <w:numId w:val="0"/>
        </w:numPr>
        <w:rPr>
          <w:rFonts w:hint="default" w:ascii="Times New Roman" w:hAnsi="Times New Roman" w:cs="Times New Roman"/>
          <w:b/>
          <w:bCs/>
          <w:lang w:val="en-IN" w:eastAsia="ko-KR"/>
        </w:rPr>
      </w:pPr>
      <w:r>
        <w:rPr>
          <w:rFonts w:hint="default" w:ascii="Times New Roman" w:hAnsi="Times New Roman" w:cs="Times New Roman"/>
          <w:b/>
          <w:bCs/>
        </w:rPr>
        <w:t>Proposal</w:t>
      </w:r>
      <w:r>
        <w:rPr>
          <w:rFonts w:hint="default" w:ascii="Times New Roman" w:hAnsi="Times New Roman" w:cs="Times New Roman"/>
          <w:b/>
          <w:bCs/>
          <w:lang w:val="en-IN"/>
        </w:rPr>
        <w:t xml:space="preserve"> 7</w:t>
      </w:r>
      <w:r>
        <w:rPr>
          <w:rFonts w:hint="default" w:ascii="Times New Roman" w:hAnsi="Times New Roman" w:cs="Times New Roman"/>
          <w:b/>
          <w:bCs/>
        </w:rPr>
        <w:t xml:space="preserve"> :</w:t>
      </w:r>
      <w:r>
        <w:rPr>
          <w:rFonts w:hint="default" w:ascii="Times New Roman" w:hAnsi="Times New Roman" w:cs="Times New Roman"/>
          <w:b/>
          <w:bCs/>
          <w:lang w:val="en-IN"/>
        </w:rPr>
        <w:t xml:space="preserve"> The scenarios of concurrent switching between inter-SN/intra-SN SCG LTM is limited.</w:t>
      </w:r>
      <w:r>
        <w:rPr>
          <w:rFonts w:hint="default" w:ascii="Times New Roman" w:hAnsi="Times New Roman" w:cs="Times New Roman"/>
          <w:b/>
          <w:bCs/>
        </w:rPr>
        <w:t xml:space="preserve"> </w:t>
      </w:r>
      <w:r>
        <w:rPr>
          <w:rFonts w:hint="default" w:ascii="Times New Roman" w:hAnsi="Times New Roman" w:cs="Times New Roman"/>
          <w:b/>
          <w:bCs/>
          <w:lang w:val="en-IN"/>
        </w:rPr>
        <w:t>Depends on the mobility class and load balancing considerations, MN can manage it effectively. The configurations of inter-SN/ intra-SN SCG LTM is not mandatory. RAN2 needs to investigate further if required.</w:t>
      </w:r>
    </w:p>
    <w:p w14:paraId="63D236C3">
      <w:pPr>
        <w:pStyle w:val="2"/>
        <w:ind w:hanging="792"/>
        <w:rPr>
          <w:rFonts w:hint="default" w:ascii="Times New Roman" w:hAnsi="Times New Roman" w:cs="Times New Roman"/>
        </w:rPr>
      </w:pPr>
      <w:r>
        <w:rPr>
          <w:rFonts w:hint="default" w:ascii="Times New Roman" w:hAnsi="Times New Roman" w:cs="Times New Roman"/>
        </w:rPr>
        <w:t>References</w:t>
      </w:r>
    </w:p>
    <w:p w14:paraId="5B79F849">
      <w:pPr>
        <w:pStyle w:val="57"/>
        <w:numPr>
          <w:ilvl w:val="0"/>
          <w:numId w:val="19"/>
        </w:numPr>
        <w:ind w:leftChars="0"/>
        <w:jc w:val="left"/>
        <w:textAlignment w:val="auto"/>
        <w:rPr>
          <w:rFonts w:hint="default" w:ascii="Times New Roman" w:hAnsi="Times New Roman" w:cs="Times New Roman"/>
          <w:szCs w:val="20"/>
          <w:lang w:val="en-IN"/>
        </w:rPr>
      </w:pPr>
      <w:bookmarkStart w:id="5" w:name="OLE_LINK34"/>
      <w:r>
        <w:rPr>
          <w:rFonts w:hint="default" w:ascii="Times New Roman" w:hAnsi="Times New Roman" w:cs="Times New Roman"/>
        </w:rPr>
        <w:t>R2-2407571</w:t>
      </w:r>
      <w:r>
        <w:rPr>
          <w:rFonts w:hint="default" w:ascii="Times New Roman" w:hAnsi="Times New Roman" w:cs="Times New Roman"/>
          <w:lang w:val="en-IN"/>
        </w:rPr>
        <w:t xml:space="preserve"> “</w:t>
      </w:r>
      <w:r>
        <w:rPr>
          <w:rFonts w:hint="default" w:ascii="Times New Roman" w:hAnsi="Times New Roman" w:cs="Times New Roman"/>
        </w:rPr>
        <w:t>Report from session on V2X/SL, R18/19 MOB, and R19 NES</w:t>
      </w:r>
      <w:r>
        <w:rPr>
          <w:rFonts w:hint="default" w:ascii="Times New Roman" w:hAnsi="Times New Roman" w:cs="Times New Roman"/>
          <w:lang w:val="en-IN"/>
        </w:rPr>
        <w:t xml:space="preserve">”,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172855C4">
      <w:pPr>
        <w:pStyle w:val="57"/>
        <w:numPr>
          <w:ilvl w:val="0"/>
          <w:numId w:val="19"/>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37.340, E-UTRA and NR; Multi-connectivity; Stage 2, Release 18</w:t>
      </w: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69239"/>
    <w:multiLevelType w:val="singleLevel"/>
    <w:tmpl w:val="CA269239"/>
    <w:lvl w:ilvl="0" w:tentative="0">
      <w:start w:val="1"/>
      <w:numFmt w:val="decimal"/>
      <w:lvlText w:val="%1."/>
      <w:lvlJc w:val="left"/>
      <w:pPr>
        <w:tabs>
          <w:tab w:val="left" w:pos="312"/>
        </w:tabs>
      </w:pPr>
    </w:lvl>
  </w:abstractNum>
  <w:abstractNum w:abstractNumId="1">
    <w:nsid w:val="D2157F23"/>
    <w:multiLevelType w:val="singleLevel"/>
    <w:tmpl w:val="D2157F2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EA313C21"/>
    <w:multiLevelType w:val="singleLevel"/>
    <w:tmpl w:val="EA313C21"/>
    <w:lvl w:ilvl="0" w:tentative="0">
      <w:start w:val="5"/>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24DAF01B"/>
    <w:multiLevelType w:val="singleLevel"/>
    <w:tmpl w:val="24DAF01B"/>
    <w:lvl w:ilvl="0" w:tentative="0">
      <w:start w:val="1"/>
      <w:numFmt w:val="decimal"/>
      <w:suff w:val="space"/>
      <w:lvlText w:val="[%1]"/>
      <w:lvlJc w:val="left"/>
    </w:lvl>
  </w:abstractNum>
  <w:abstractNum w:abstractNumId="5">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6301CC"/>
    <w:multiLevelType w:val="singleLevel"/>
    <w:tmpl w:val="3B6301CC"/>
    <w:lvl w:ilvl="0" w:tentative="0">
      <w:start w:val="1"/>
      <w:numFmt w:val="bullet"/>
      <w:pStyle w:val="121"/>
      <w:lvlText w:val=""/>
      <w:lvlJc w:val="left"/>
      <w:pPr>
        <w:tabs>
          <w:tab w:val="left" w:pos="1494"/>
        </w:tabs>
        <w:ind w:left="227" w:firstLine="907"/>
      </w:pPr>
      <w:rPr>
        <w:rFonts w:hint="default" w:ascii="Symbol" w:hAnsi="Symbol"/>
      </w:rPr>
    </w:lvl>
  </w:abstractNum>
  <w:abstractNum w:abstractNumId="9">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1385E02"/>
    <w:multiLevelType w:val="singleLevel"/>
    <w:tmpl w:val="51385E02"/>
    <w:lvl w:ilvl="0" w:tentative="0">
      <w:start w:val="10"/>
      <w:numFmt w:val="decimal"/>
      <w:lvlText w:val="%1."/>
      <w:lvlJc w:val="left"/>
      <w:pPr>
        <w:tabs>
          <w:tab w:val="left" w:pos="312"/>
        </w:tabs>
      </w:pPr>
    </w:lvl>
  </w:abstractNum>
  <w:abstractNum w:abstractNumId="14">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426B29"/>
    <w:multiLevelType w:val="multilevel"/>
    <w:tmpl w:val="52426B29"/>
    <w:lvl w:ilvl="0" w:tentative="0">
      <w:start w:val="1"/>
      <w:numFmt w:val="decimal"/>
      <w:pStyle w:val="103"/>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6">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146DC0"/>
    <w:multiLevelType w:val="multilevel"/>
    <w:tmpl w:val="70146DC0"/>
    <w:lvl w:ilvl="0" w:tentative="0">
      <w:start w:val="1"/>
      <w:numFmt w:val="bullet"/>
      <w:pStyle w:val="116"/>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8">
    <w:nsid w:val="7BC330F5"/>
    <w:multiLevelType w:val="multilevel"/>
    <w:tmpl w:val="7BC330F5"/>
    <w:lvl w:ilvl="0" w:tentative="0">
      <w:start w:val="1"/>
      <w:numFmt w:val="bullet"/>
      <w:pStyle w:val="9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0"/>
  </w:num>
  <w:num w:numId="4">
    <w:abstractNumId w:val="16"/>
  </w:num>
  <w:num w:numId="5">
    <w:abstractNumId w:val="6"/>
  </w:num>
  <w:num w:numId="6">
    <w:abstractNumId w:val="9"/>
  </w:num>
  <w:num w:numId="7">
    <w:abstractNumId w:val="11"/>
  </w:num>
  <w:num w:numId="8">
    <w:abstractNumId w:val="7"/>
  </w:num>
  <w:num w:numId="9">
    <w:abstractNumId w:val="12"/>
  </w:num>
  <w:num w:numId="10">
    <w:abstractNumId w:val="18"/>
  </w:num>
  <w:num w:numId="11">
    <w:abstractNumId w:val="15"/>
  </w:num>
  <w:num w:numId="12">
    <w:abstractNumId w:val="17"/>
  </w:num>
  <w:num w:numId="13">
    <w:abstractNumId w:val="14"/>
  </w:num>
  <w:num w:numId="14">
    <w:abstractNumId w:val="8"/>
  </w:num>
  <w:num w:numId="15">
    <w:abstractNumId w:val="0"/>
  </w:num>
  <w:num w:numId="16">
    <w:abstractNumId w:val="2"/>
  </w:num>
  <w:num w:numId="17">
    <w:abstractNumId w:val="13"/>
  </w:num>
  <w:num w:numId="18">
    <w:abstractNumId w:val="1"/>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2E20098"/>
    <w:rsid w:val="045D4251"/>
    <w:rsid w:val="049E52A6"/>
    <w:rsid w:val="074D66CE"/>
    <w:rsid w:val="07934F7B"/>
    <w:rsid w:val="08971832"/>
    <w:rsid w:val="0A066149"/>
    <w:rsid w:val="0BB85A80"/>
    <w:rsid w:val="11CF6A61"/>
    <w:rsid w:val="136479F4"/>
    <w:rsid w:val="13984D29"/>
    <w:rsid w:val="15273D43"/>
    <w:rsid w:val="17263761"/>
    <w:rsid w:val="17CB2E65"/>
    <w:rsid w:val="17F57C9F"/>
    <w:rsid w:val="18D57CCC"/>
    <w:rsid w:val="1B374B68"/>
    <w:rsid w:val="1B6D1F56"/>
    <w:rsid w:val="1BC26608"/>
    <w:rsid w:val="1FB551F0"/>
    <w:rsid w:val="1FEA526B"/>
    <w:rsid w:val="203330E1"/>
    <w:rsid w:val="207E5ADF"/>
    <w:rsid w:val="20E64474"/>
    <w:rsid w:val="22592A24"/>
    <w:rsid w:val="22D84D4A"/>
    <w:rsid w:val="23B35432"/>
    <w:rsid w:val="25564A10"/>
    <w:rsid w:val="25E85D30"/>
    <w:rsid w:val="26A56FD4"/>
    <w:rsid w:val="27532F3B"/>
    <w:rsid w:val="296F5A87"/>
    <w:rsid w:val="2A015241"/>
    <w:rsid w:val="2A6D7A05"/>
    <w:rsid w:val="2B216025"/>
    <w:rsid w:val="2CDD53B3"/>
    <w:rsid w:val="2EF54BB9"/>
    <w:rsid w:val="2F410E7B"/>
    <w:rsid w:val="31594282"/>
    <w:rsid w:val="315F400E"/>
    <w:rsid w:val="31E91F1F"/>
    <w:rsid w:val="33DC7D6A"/>
    <w:rsid w:val="35C34243"/>
    <w:rsid w:val="36EB624B"/>
    <w:rsid w:val="38240A52"/>
    <w:rsid w:val="3A064243"/>
    <w:rsid w:val="3BE52761"/>
    <w:rsid w:val="3BF875AB"/>
    <w:rsid w:val="3CEF24BF"/>
    <w:rsid w:val="3D6C528D"/>
    <w:rsid w:val="3EC66663"/>
    <w:rsid w:val="40526747"/>
    <w:rsid w:val="44516AA1"/>
    <w:rsid w:val="45B96DA7"/>
    <w:rsid w:val="46CE2624"/>
    <w:rsid w:val="471D4A8B"/>
    <w:rsid w:val="47CF4CBD"/>
    <w:rsid w:val="48BE62E5"/>
    <w:rsid w:val="4A681188"/>
    <w:rsid w:val="4BB1325C"/>
    <w:rsid w:val="4C8927EB"/>
    <w:rsid w:val="4E5B4D57"/>
    <w:rsid w:val="4EF75830"/>
    <w:rsid w:val="4F2D48C4"/>
    <w:rsid w:val="4F716A63"/>
    <w:rsid w:val="4F9D33AA"/>
    <w:rsid w:val="50554986"/>
    <w:rsid w:val="51193B9B"/>
    <w:rsid w:val="51D34289"/>
    <w:rsid w:val="53AE55F7"/>
    <w:rsid w:val="55901067"/>
    <w:rsid w:val="560663C5"/>
    <w:rsid w:val="58CB0962"/>
    <w:rsid w:val="59D61179"/>
    <w:rsid w:val="5A83719B"/>
    <w:rsid w:val="5AD738D5"/>
    <w:rsid w:val="5CA81980"/>
    <w:rsid w:val="5D625B10"/>
    <w:rsid w:val="5D8C69D3"/>
    <w:rsid w:val="5F702B80"/>
    <w:rsid w:val="605B580B"/>
    <w:rsid w:val="60A7051F"/>
    <w:rsid w:val="60BF2442"/>
    <w:rsid w:val="60DD0BAD"/>
    <w:rsid w:val="62A16505"/>
    <w:rsid w:val="63746868"/>
    <w:rsid w:val="63E14B3E"/>
    <w:rsid w:val="647C37F5"/>
    <w:rsid w:val="64BD33A1"/>
    <w:rsid w:val="66C327FA"/>
    <w:rsid w:val="67CA1877"/>
    <w:rsid w:val="6A4D40CB"/>
    <w:rsid w:val="6A4E32D2"/>
    <w:rsid w:val="6BD9660A"/>
    <w:rsid w:val="6BEE35CC"/>
    <w:rsid w:val="6CBB3DE1"/>
    <w:rsid w:val="6DCA3B30"/>
    <w:rsid w:val="70B66BEB"/>
    <w:rsid w:val="71DE3CE7"/>
    <w:rsid w:val="74C344CD"/>
    <w:rsid w:val="74D0727A"/>
    <w:rsid w:val="7581598A"/>
    <w:rsid w:val="76925D60"/>
    <w:rsid w:val="77B72A76"/>
    <w:rsid w:val="7C3D17EF"/>
    <w:rsid w:val="7CD90610"/>
    <w:rsid w:val="7CF61B59"/>
    <w:rsid w:val="7DEB5D59"/>
    <w:rsid w:val="7F1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8"/>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3"/>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29"/>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4"/>
    <w:qFormat/>
    <w:uiPriority w:val="0"/>
  </w:style>
  <w:style w:type="paragraph" w:styleId="15">
    <w:name w:val="caption"/>
    <w:basedOn w:val="1"/>
    <w:next w:val="1"/>
    <w:link w:val="93"/>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0"/>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table" w:styleId="42">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3">
    <w:name w:val="table of figures"/>
    <w:basedOn w:val="1"/>
    <w:next w:val="1"/>
    <w:qFormat/>
    <w:uiPriority w:val="99"/>
    <w:pPr>
      <w:ind w:left="1418" w:hanging="1418"/>
      <w:jc w:val="left"/>
    </w:pPr>
    <w:rPr>
      <w:b/>
    </w:rPr>
  </w:style>
  <w:style w:type="paragraph" w:styleId="44">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5">
    <w:name w:val="toc 2"/>
    <w:basedOn w:val="44"/>
    <w:semiHidden/>
    <w:qFormat/>
    <w:uiPriority w:val="0"/>
    <w:pPr>
      <w:keepNext w:val="0"/>
      <w:spacing w:before="0"/>
      <w:ind w:left="851" w:hanging="851"/>
    </w:pPr>
    <w:rPr>
      <w:szCs w:val="20"/>
    </w:rPr>
  </w:style>
  <w:style w:type="paragraph" w:styleId="46">
    <w:name w:val="toc 3"/>
    <w:basedOn w:val="45"/>
    <w:semiHidden/>
    <w:qFormat/>
    <w:uiPriority w:val="0"/>
    <w:pPr>
      <w:ind w:left="1134" w:hanging="1134"/>
    </w:pPr>
  </w:style>
  <w:style w:type="paragraph" w:styleId="47">
    <w:name w:val="toc 4"/>
    <w:basedOn w:val="46"/>
    <w:semiHidden/>
    <w:qFormat/>
    <w:uiPriority w:val="0"/>
    <w:pPr>
      <w:ind w:left="1418" w:hanging="1418"/>
    </w:pPr>
  </w:style>
  <w:style w:type="paragraph" w:styleId="48">
    <w:name w:val="toc 5"/>
    <w:basedOn w:val="47"/>
    <w:semiHidden/>
    <w:qFormat/>
    <w:uiPriority w:val="0"/>
    <w:pPr>
      <w:tabs>
        <w:tab w:val="right" w:pos="1701"/>
      </w:tabs>
      <w:ind w:left="1701" w:hanging="1701"/>
    </w:pPr>
  </w:style>
  <w:style w:type="paragraph" w:styleId="49">
    <w:name w:val="toc 6"/>
    <w:basedOn w:val="48"/>
    <w:next w:val="1"/>
    <w:semiHidden/>
    <w:qFormat/>
    <w:uiPriority w:val="0"/>
    <w:pPr>
      <w:ind w:left="1985" w:hanging="1985"/>
    </w:pPr>
  </w:style>
  <w:style w:type="paragraph" w:styleId="50">
    <w:name w:val="toc 7"/>
    <w:basedOn w:val="49"/>
    <w:next w:val="1"/>
    <w:semiHidden/>
    <w:qFormat/>
    <w:uiPriority w:val="0"/>
    <w:pPr>
      <w:ind w:left="2268" w:hanging="2268"/>
    </w:pPr>
  </w:style>
  <w:style w:type="paragraph" w:styleId="51">
    <w:name w:val="toc 8"/>
    <w:basedOn w:val="44"/>
    <w:semiHidden/>
    <w:qFormat/>
    <w:uiPriority w:val="0"/>
    <w:pPr>
      <w:spacing w:before="180"/>
      <w:ind w:left="2693" w:hanging="2693"/>
    </w:pPr>
    <w:rPr>
      <w:b w:val="0"/>
      <w:bCs/>
    </w:rPr>
  </w:style>
  <w:style w:type="paragraph" w:styleId="52">
    <w:name w:val="toc 9"/>
    <w:basedOn w:val="51"/>
    <w:semiHidden/>
    <w:qFormat/>
    <w:uiPriority w:val="0"/>
    <w:pPr>
      <w:ind w:left="1418" w:hanging="1418"/>
    </w:pPr>
  </w:style>
  <w:style w:type="paragraph" w:customStyle="1" w:styleId="53">
    <w:name w:val="Figure"/>
    <w:basedOn w:val="1"/>
    <w:next w:val="15"/>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character" w:customStyle="1" w:styleId="58">
    <w:name w:val="标题 1 字符"/>
    <w:link w:val="2"/>
    <w:qFormat/>
    <w:uiPriority w:val="0"/>
    <w:rPr>
      <w:rFonts w:ascii="Arial" w:hAnsi="Arial" w:cs="Arial"/>
      <w:sz w:val="36"/>
      <w:szCs w:val="36"/>
      <w:lang w:val="en-GB"/>
    </w:rPr>
  </w:style>
  <w:style w:type="paragraph" w:customStyle="1" w:styleId="59">
    <w:name w:val="B1"/>
    <w:basedOn w:val="28"/>
    <w:link w:val="88"/>
    <w:qFormat/>
    <w:uiPriority w:val="0"/>
    <w:pPr>
      <w:spacing w:after="180"/>
      <w:jc w:val="left"/>
    </w:pPr>
    <w:rPr>
      <w:lang w:eastAsia="en-US"/>
    </w:rPr>
  </w:style>
  <w:style w:type="paragraph" w:customStyle="1" w:styleId="60">
    <w:name w:val="B2"/>
    <w:basedOn w:val="29"/>
    <w:link w:val="89"/>
    <w:qFormat/>
    <w:uiPriority w:val="0"/>
    <w:pPr>
      <w:spacing w:after="180"/>
      <w:jc w:val="left"/>
    </w:pPr>
    <w:rPr>
      <w:lang w:eastAsia="en-US"/>
    </w:rPr>
  </w:style>
  <w:style w:type="paragraph" w:customStyle="1" w:styleId="61">
    <w:name w:val="B3"/>
    <w:basedOn w:val="30"/>
    <w:link w:val="90"/>
    <w:qFormat/>
    <w:uiPriority w:val="0"/>
    <w:pPr>
      <w:spacing w:after="180"/>
      <w:jc w:val="left"/>
    </w:pPr>
    <w:rPr>
      <w:lang w:eastAsia="en-US"/>
    </w:rPr>
  </w:style>
  <w:style w:type="paragraph" w:customStyle="1" w:styleId="62">
    <w:name w:val="B4"/>
    <w:basedOn w:val="31"/>
    <w:link w:val="127"/>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character" w:customStyle="1" w:styleId="64">
    <w:name w:val="正文文本 字符"/>
    <w:link w:val="14"/>
    <w:qFormat/>
    <w:uiPriority w:val="0"/>
    <w:rPr>
      <w:rFonts w:ascii="Arial" w:hAnsi="Arial"/>
      <w:lang w:val="en-GB"/>
    </w:rPr>
  </w:style>
  <w:style w:type="paragraph" w:customStyle="1" w:styleId="65">
    <w:name w:val="B5"/>
    <w:basedOn w:val="32"/>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115"/>
    <w:qFormat/>
    <w:uiPriority w:val="0"/>
    <w:pPr>
      <w:keepNext/>
      <w:keepLines/>
      <w:spacing w:after="0"/>
      <w:jc w:val="left"/>
    </w:pPr>
    <w:rPr>
      <w:sz w:val="18"/>
      <w:lang w:eastAsia="en-US"/>
    </w:rPr>
  </w:style>
  <w:style w:type="paragraph" w:customStyle="1" w:styleId="69">
    <w:name w:val="TAC"/>
    <w:basedOn w:val="68"/>
    <w:link w:val="101"/>
    <w:qFormat/>
    <w:uiPriority w:val="0"/>
    <w:pPr>
      <w:jc w:val="center"/>
    </w:pPr>
  </w:style>
  <w:style w:type="paragraph" w:customStyle="1" w:styleId="70">
    <w:name w:val="TAH"/>
    <w:basedOn w:val="69"/>
    <w:link w:val="102"/>
    <w:qFormat/>
    <w:uiPriority w:val="0"/>
    <w:rPr>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6"/>
    <w:qFormat/>
    <w:uiPriority w:val="0"/>
    <w:pPr>
      <w:keepNext w:val="0"/>
      <w:spacing w:before="0" w:after="240"/>
    </w:pPr>
  </w:style>
  <w:style w:type="paragraph" w:customStyle="1" w:styleId="75">
    <w:name w:val="TT"/>
    <w:basedOn w:val="2"/>
    <w:next w:val="1"/>
    <w:qFormat/>
    <w:uiPriority w:val="0"/>
    <w:pPr>
      <w:numPr>
        <w:numId w:val="0"/>
      </w:numPr>
      <w:ind w:left="1134" w:hanging="1134"/>
      <w:outlineLvl w:val="9"/>
    </w:pPr>
    <w:rPr>
      <w:rFonts w:cs="Times New Roman"/>
      <w:szCs w:val="20"/>
      <w:lang w:eastAsia="en-US"/>
    </w:r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0">
    <w:name w:val="ZGSM"/>
    <w:qFormat/>
    <w:uiPriority w:val="0"/>
  </w:style>
  <w:style w:type="paragraph" w:customStyle="1" w:styleId="8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3">
    <w:name w:val="ZTD"/>
    <w:basedOn w:val="77"/>
    <w:qFormat/>
    <w:uiPriority w:val="0"/>
    <w:pPr>
      <w:framePr w:hRule="auto" w:y="852"/>
    </w:pPr>
    <w:rPr>
      <w:i w:val="0"/>
      <w:sz w:val="40"/>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5">
    <w:name w:val="ZV"/>
    <w:basedOn w:val="84"/>
    <w:qFormat/>
    <w:uiPriority w:val="0"/>
    <w:pPr>
      <w:framePr w:y="16161"/>
    </w:pPr>
  </w:style>
  <w:style w:type="paragraph" w:customStyle="1" w:styleId="86">
    <w:name w:val="FP"/>
    <w:basedOn w:val="1"/>
    <w:qFormat/>
    <w:uiPriority w:val="0"/>
    <w:pPr>
      <w:spacing w:after="0"/>
      <w:jc w:val="left"/>
    </w:pPr>
    <w:rPr>
      <w:lang w:eastAsia="en-US"/>
    </w:rPr>
  </w:style>
  <w:style w:type="paragraph" w:customStyle="1" w:styleId="87">
    <w:name w:val="Observation"/>
    <w:basedOn w:val="63"/>
    <w:qFormat/>
    <w:uiPriority w:val="0"/>
    <w:pPr>
      <w:numPr>
        <w:ilvl w:val="0"/>
        <w:numId w:val="9"/>
      </w:numPr>
    </w:pPr>
  </w:style>
  <w:style w:type="character" w:customStyle="1" w:styleId="88">
    <w:name w:val="B1 Char"/>
    <w:link w:val="59"/>
    <w:qFormat/>
    <w:uiPriority w:val="0"/>
    <w:rPr>
      <w:rFonts w:ascii="Arial" w:hAnsi="Arial"/>
      <w:lang w:val="en-GB" w:eastAsia="en-US"/>
    </w:rPr>
  </w:style>
  <w:style w:type="character" w:customStyle="1" w:styleId="89">
    <w:name w:val="B2 Char"/>
    <w:link w:val="60"/>
    <w:qFormat/>
    <w:uiPriority w:val="0"/>
    <w:rPr>
      <w:rFonts w:ascii="Arial" w:hAnsi="Arial"/>
      <w:lang w:val="en-GB" w:eastAsia="en-US"/>
    </w:rPr>
  </w:style>
  <w:style w:type="character" w:customStyle="1" w:styleId="90">
    <w:name w:val="B3 Char"/>
    <w:link w:val="61"/>
    <w:qFormat/>
    <w:uiPriority w:val="0"/>
    <w:rPr>
      <w:rFonts w:ascii="Arial" w:hAnsi="Arial"/>
      <w:lang w:val="en-GB" w:eastAsia="en-US"/>
    </w:rPr>
  </w:style>
  <w:style w:type="paragraph" w:customStyle="1" w:styleId="91">
    <w:name w:val="NO"/>
    <w:basedOn w:val="1"/>
    <w:link w:val="92"/>
    <w:qFormat/>
    <w:uiPriority w:val="0"/>
    <w:pPr>
      <w:keepLines/>
      <w:spacing w:after="180"/>
      <w:ind w:left="1135" w:hanging="851"/>
      <w:jc w:val="left"/>
    </w:pPr>
    <w:rPr>
      <w:rFonts w:ascii="Times New Roman" w:hAnsi="Times New Roman" w:eastAsia="Malgun Gothic"/>
      <w:lang w:eastAsia="ko-KR"/>
    </w:rPr>
  </w:style>
  <w:style w:type="character" w:customStyle="1" w:styleId="92">
    <w:name w:val="NO Char"/>
    <w:link w:val="91"/>
    <w:qFormat/>
    <w:uiPriority w:val="0"/>
    <w:rPr>
      <w:rFonts w:ascii="Times New Roman" w:hAnsi="Times New Roman" w:eastAsia="Malgun Gothic"/>
      <w:lang w:val="en-GB" w:eastAsia="ko-KR"/>
    </w:rPr>
  </w:style>
  <w:style w:type="character" w:customStyle="1" w:styleId="93">
    <w:name w:val="题注 字符"/>
    <w:link w:val="15"/>
    <w:qFormat/>
    <w:uiPriority w:val="0"/>
    <w:rPr>
      <w:rFonts w:ascii="Arial" w:hAnsi="Arial"/>
      <w:b/>
      <w:bCs/>
      <w:lang w:val="en-GB" w:eastAsia="zh-CN"/>
    </w:rPr>
  </w:style>
  <w:style w:type="paragraph" w:customStyle="1" w:styleId="94">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5">
    <w:name w:val="B1 Zchn"/>
    <w:qFormat/>
    <w:uiPriority w:val="0"/>
    <w:rPr>
      <w:rFonts w:ascii="Arial" w:hAnsi="Arial" w:eastAsia="MS Mincho" w:cs="Arial"/>
      <w:color w:val="0000FF"/>
      <w:kern w:val="2"/>
      <w:lang w:val="en-GB" w:eastAsia="en-US" w:bidi="ar-SA"/>
    </w:rPr>
  </w:style>
  <w:style w:type="paragraph" w:customStyle="1" w:styleId="96">
    <w:name w:val="Revision"/>
    <w:hidden/>
    <w:semiHidden/>
    <w:qFormat/>
    <w:uiPriority w:val="99"/>
    <w:rPr>
      <w:rFonts w:ascii="Arial" w:hAnsi="Arial" w:eastAsia="SimSun" w:cs="Times New Roman"/>
      <w:lang w:val="en-GB" w:eastAsia="zh-CN" w:bidi="ar-SA"/>
    </w:rPr>
  </w:style>
  <w:style w:type="paragraph" w:styleId="97">
    <w:name w:val="List Paragraph"/>
    <w:basedOn w:val="1"/>
    <w:link w:val="104"/>
    <w:qFormat/>
    <w:uiPriority w:val="34"/>
    <w:pPr>
      <w:ind w:left="720"/>
    </w:pPr>
  </w:style>
  <w:style w:type="paragraph" w:customStyle="1" w:styleId="98">
    <w:name w:val="Doc-text2"/>
    <w:basedOn w:val="1"/>
    <w:link w:val="99"/>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9">
    <w:name w:val="Doc-text2 Char"/>
    <w:link w:val="98"/>
    <w:qFormat/>
    <w:uiPriority w:val="0"/>
    <w:rPr>
      <w:rFonts w:ascii="Arial" w:hAnsi="Arial" w:eastAsia="MS Mincho"/>
      <w:szCs w:val="24"/>
      <w:lang w:val="en-GB" w:eastAsia="en-GB"/>
    </w:rPr>
  </w:style>
  <w:style w:type="character" w:customStyle="1" w:styleId="100">
    <w:name w:val="TH Char"/>
    <w:link w:val="73"/>
    <w:qFormat/>
    <w:uiPriority w:val="0"/>
    <w:rPr>
      <w:rFonts w:ascii="Arial" w:hAnsi="Arial"/>
      <w:b/>
      <w:lang w:val="en-GB"/>
    </w:rPr>
  </w:style>
  <w:style w:type="character" w:customStyle="1" w:styleId="101">
    <w:name w:val="TAC Char"/>
    <w:link w:val="69"/>
    <w:qFormat/>
    <w:uiPriority w:val="0"/>
    <w:rPr>
      <w:rFonts w:ascii="Arial" w:hAnsi="Arial"/>
      <w:sz w:val="18"/>
      <w:lang w:val="en-GB"/>
    </w:rPr>
  </w:style>
  <w:style w:type="character" w:customStyle="1" w:styleId="102">
    <w:name w:val="TAH Car"/>
    <w:link w:val="70"/>
    <w:qFormat/>
    <w:uiPriority w:val="0"/>
    <w:rPr>
      <w:rFonts w:ascii="Arial" w:hAnsi="Arial"/>
      <w:b/>
      <w:sz w:val="18"/>
      <w:lang w:val="en-GB"/>
    </w:rPr>
  </w:style>
  <w:style w:type="paragraph" w:customStyle="1" w:styleId="103">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4">
    <w:name w:val="列表段落 字符"/>
    <w:link w:val="97"/>
    <w:qFormat/>
    <w:locked/>
    <w:uiPriority w:val="34"/>
    <w:rPr>
      <w:rFonts w:ascii="Arial" w:hAnsi="Arial"/>
      <w:lang w:val="en-GB" w:eastAsia="zh-CN"/>
    </w:rPr>
  </w:style>
  <w:style w:type="character" w:customStyle="1" w:styleId="105">
    <w:name w:val="B1 Char1"/>
    <w:qFormat/>
    <w:uiPriority w:val="0"/>
    <w:rPr>
      <w:lang w:val="en-GB" w:eastAsia="en-US" w:bidi="ar-SA"/>
    </w:rPr>
  </w:style>
  <w:style w:type="character" w:customStyle="1" w:styleId="106">
    <w:name w:val="TF Char"/>
    <w:link w:val="74"/>
    <w:qFormat/>
    <w:uiPriority w:val="0"/>
    <w:rPr>
      <w:rFonts w:ascii="Arial" w:hAnsi="Arial"/>
      <w:b/>
      <w:lang w:val="en-GB"/>
    </w:rPr>
  </w:style>
  <w:style w:type="paragraph" w:customStyle="1" w:styleId="107">
    <w:name w:val="LGTdoc_본문"/>
    <w:basedOn w:val="1"/>
    <w:link w:val="108"/>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8">
    <w:name w:val="LGTdoc_본문 Char"/>
    <w:link w:val="107"/>
    <w:qFormat/>
    <w:uiPriority w:val="0"/>
    <w:rPr>
      <w:rFonts w:ascii="Times New Roman" w:hAnsi="Times New Roman" w:eastAsia="Batang"/>
      <w:kern w:val="2"/>
      <w:sz w:val="22"/>
      <w:szCs w:val="24"/>
      <w:lang w:val="en-GB" w:eastAsia="ko-KR"/>
    </w:rPr>
  </w:style>
  <w:style w:type="character" w:customStyle="1" w:styleId="109">
    <w:name w:val="B3 Char2"/>
    <w:qFormat/>
    <w:uiPriority w:val="0"/>
    <w:rPr>
      <w:rFonts w:eastAsia="Times New Roman"/>
      <w:lang w:eastAsia="ja-JP"/>
    </w:rPr>
  </w:style>
  <w:style w:type="character" w:customStyle="1" w:styleId="110">
    <w:name w:val="批注文字 字符"/>
    <w:link w:val="17"/>
    <w:qFormat/>
    <w:uiPriority w:val="99"/>
    <w:rPr>
      <w:rFonts w:ascii="Arial" w:hAnsi="Arial"/>
      <w:lang w:val="en-GB" w:eastAsia="zh-CN"/>
    </w:rPr>
  </w:style>
  <w:style w:type="paragraph" w:customStyle="1" w:styleId="111">
    <w:name w:val="CR Cover Page"/>
    <w:link w:val="112"/>
    <w:qFormat/>
    <w:uiPriority w:val="0"/>
    <w:pPr>
      <w:spacing w:after="120"/>
    </w:pPr>
    <w:rPr>
      <w:rFonts w:ascii="Arial" w:hAnsi="Arial" w:eastAsia="SimSun" w:cs="Times New Roman"/>
      <w:lang w:val="en-GB" w:eastAsia="en-US" w:bidi="ar-SA"/>
    </w:rPr>
  </w:style>
  <w:style w:type="character" w:customStyle="1" w:styleId="112">
    <w:name w:val="CR Cover Page Zchn"/>
    <w:link w:val="111"/>
    <w:qFormat/>
    <w:uiPriority w:val="0"/>
    <w:rPr>
      <w:rFonts w:ascii="Arial" w:hAnsi="Arial" w:eastAsia="SimSun"/>
      <w:lang w:val="en-GB"/>
    </w:rPr>
  </w:style>
  <w:style w:type="paragraph" w:customStyle="1" w:styleId="113">
    <w:name w:val="PL"/>
    <w:link w:val="11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4">
    <w:name w:val="PL Char"/>
    <w:link w:val="113"/>
    <w:qFormat/>
    <w:uiPriority w:val="0"/>
    <w:rPr>
      <w:rFonts w:ascii="Courier New" w:hAnsi="Courier New"/>
      <w:sz w:val="16"/>
      <w:shd w:val="clear" w:color="auto" w:fill="E6E6E6"/>
      <w:lang w:val="en-GB" w:eastAsia="en-GB"/>
    </w:rPr>
  </w:style>
  <w:style w:type="character" w:customStyle="1" w:styleId="115">
    <w:name w:val="TAL Car"/>
    <w:link w:val="68"/>
    <w:qFormat/>
    <w:uiPriority w:val="0"/>
    <w:rPr>
      <w:rFonts w:ascii="Arial" w:hAnsi="Arial"/>
      <w:sz w:val="18"/>
      <w:lang w:val="en-GB"/>
    </w:rPr>
  </w:style>
  <w:style w:type="paragraph" w:customStyle="1" w:styleId="116">
    <w:name w:val="Agreement"/>
    <w:basedOn w:val="1"/>
    <w:next w:val="98"/>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7">
    <w:name w:val="EmailDiscussion Char"/>
    <w:link w:val="118"/>
    <w:qFormat/>
    <w:locked/>
    <w:uiPriority w:val="0"/>
    <w:rPr>
      <w:rFonts w:ascii="Arial" w:hAnsi="Arial" w:eastAsia="MS Mincho" w:cs="Arial"/>
      <w:b/>
      <w:szCs w:val="24"/>
      <w:lang w:eastAsia="en-US"/>
    </w:rPr>
  </w:style>
  <w:style w:type="paragraph" w:customStyle="1" w:styleId="118">
    <w:name w:val="EmailDiscussion"/>
    <w:basedOn w:val="1"/>
    <w:next w:val="119"/>
    <w:link w:val="117"/>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19">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0">
    <w:name w:val="apple-tab-span"/>
    <w:basedOn w:val="11"/>
    <w:qFormat/>
    <w:uiPriority w:val="0"/>
  </w:style>
  <w:style w:type="paragraph" w:customStyle="1" w:styleId="121">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2">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3">
    <w:name w:val="标题 2 字符"/>
    <w:basedOn w:val="11"/>
    <w:link w:val="3"/>
    <w:qFormat/>
    <w:uiPriority w:val="0"/>
    <w:rPr>
      <w:rFonts w:ascii="Arial" w:hAnsi="Arial" w:cs="Arial"/>
      <w:sz w:val="32"/>
      <w:szCs w:val="32"/>
      <w:lang w:val="en-GB"/>
    </w:rPr>
  </w:style>
  <w:style w:type="character" w:customStyle="1" w:styleId="124">
    <w:name w:val="high-light"/>
    <w:basedOn w:val="11"/>
    <w:qFormat/>
    <w:uiPriority w:val="0"/>
  </w:style>
  <w:style w:type="character" w:customStyle="1" w:styleId="125">
    <w:name w:val="B2 Car"/>
    <w:basedOn w:val="11"/>
    <w:qFormat/>
    <w:uiPriority w:val="0"/>
  </w:style>
  <w:style w:type="character" w:customStyle="1" w:styleId="126">
    <w:name w:val="NO Zchn"/>
    <w:qFormat/>
    <w:uiPriority w:val="0"/>
    <w:rPr>
      <w:rFonts w:ascii="Times New Roman" w:hAnsi="Times New Roman" w:eastAsia="SimSun"/>
      <w:lang w:val="en-GB" w:eastAsia="ja-JP"/>
    </w:rPr>
  </w:style>
  <w:style w:type="character" w:customStyle="1" w:styleId="127">
    <w:name w:val="B4 Char"/>
    <w:link w:val="62"/>
    <w:qFormat/>
    <w:locked/>
    <w:uiPriority w:val="0"/>
    <w:rPr>
      <w:rFonts w:ascii="Arial" w:hAnsi="Arial"/>
      <w:lang w:val="en-GB" w:eastAsia="en-US"/>
    </w:rPr>
  </w:style>
  <w:style w:type="character" w:customStyle="1" w:styleId="128">
    <w:name w:val="CR Cover Page Char"/>
    <w:qFormat/>
    <w:uiPriority w:val="0"/>
    <w:rPr>
      <w:rFonts w:ascii="Arial" w:hAnsi="Arial"/>
      <w:lang w:val="en-GB" w:eastAsia="en-US" w:bidi="ar-SA"/>
    </w:rPr>
  </w:style>
  <w:style w:type="character" w:customStyle="1" w:styleId="129">
    <w:name w:val="标题 3 字符"/>
    <w:link w:val="4"/>
    <w:qFormat/>
    <w:uiPriority w:val="0"/>
    <w:rPr>
      <w:rFonts w:ascii="Arial" w:hAnsi="Arial" w:cs="Arial"/>
      <w:sz w:val="28"/>
      <w:szCs w:val="28"/>
      <w:lang w:val="en-GB"/>
    </w:rPr>
  </w:style>
  <w:style w:type="character" w:customStyle="1" w:styleId="130">
    <w:name w:val="ui-provider"/>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FD775F1D-F534-4A5E-A862-A594C6A0FD9F}">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6</Pages>
  <Words>3347</Words>
  <Characters>18439</Characters>
  <Lines>153</Lines>
  <Paragraphs>43</Paragraphs>
  <TotalTime>1</TotalTime>
  <ScaleCrop>false</ScaleCrop>
  <LinksUpToDate>false</LinksUpToDate>
  <CharactersWithSpaces>21743</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2024-10-04T06:25:17Z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1033-12.2.0.18283</vt:lpwstr>
  </property>
  <property fmtid="{D5CDD505-2E9C-101B-9397-08002B2CF9AE}" pid="28" name="ICV">
    <vt:lpwstr>ABA3FE10710B4A509EE20355EAAF330B_13</vt:lpwstr>
  </property>
</Properties>
</file>